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38" w:type="dxa"/>
        <w:tblInd w:w="113" w:type="dxa"/>
        <w:tblCellMar>
          <w:left w:w="0" w:type="dxa"/>
          <w:right w:w="0" w:type="dxa"/>
        </w:tblCellMar>
        <w:tblLook w:val="04A0" w:firstRow="1" w:lastRow="0" w:firstColumn="1" w:lastColumn="0" w:noHBand="0" w:noVBand="1"/>
      </w:tblPr>
      <w:tblGrid>
        <w:gridCol w:w="7938"/>
      </w:tblGrid>
      <w:tr w:rsidR="00B51444" w:rsidRPr="003072C6" w:rsidTr="00D66188">
        <w:trPr>
          <w:trHeight w:val="3988"/>
        </w:trPr>
        <w:tc>
          <w:tcPr>
            <w:tcW w:w="7938" w:type="dxa"/>
            <w:shd w:val="clear" w:color="auto" w:fill="auto"/>
          </w:tcPr>
          <w:p w:rsidR="00EF1F07" w:rsidRDefault="00B51444" w:rsidP="00D66188">
            <w:pPr>
              <w:pStyle w:val="DHHSreportsubtitlewhite"/>
              <w:rPr>
                <w:sz w:val="50"/>
                <w:szCs w:val="50"/>
              </w:rPr>
            </w:pPr>
            <w:bookmarkStart w:id="0" w:name="_Toc517361754"/>
            <w:bookmarkStart w:id="1" w:name="_Toc518469303"/>
            <w:bookmarkStart w:id="2" w:name="_Toc518469480"/>
            <w:bookmarkStart w:id="3" w:name="_Toc518655808"/>
            <w:bookmarkStart w:id="4" w:name="_Toc518656644"/>
            <w:bookmarkStart w:id="5" w:name="_Toc518899420"/>
            <w:bookmarkStart w:id="6" w:name="_Toc518991267"/>
            <w:r>
              <w:rPr>
                <w:noProof/>
                <w:lang w:eastAsia="en-AU"/>
              </w:rPr>
              <w:drawing>
                <wp:anchor distT="0" distB="0" distL="114300" distR="114300" simplePos="0" relativeHeight="251661312" behindDoc="1" locked="1" layoutInCell="0" allowOverlap="1" wp14:anchorId="23F0ABBB" wp14:editId="62F8DB68">
                  <wp:simplePos x="0" y="0"/>
                  <wp:positionH relativeFrom="page">
                    <wp:posOffset>0</wp:posOffset>
                  </wp:positionH>
                  <wp:positionV relativeFrom="page">
                    <wp:posOffset>0</wp:posOffset>
                  </wp:positionV>
                  <wp:extent cx="7563485" cy="10700385"/>
                  <wp:effectExtent l="0" t="0" r="0" b="5715"/>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anchor>
              </w:drawing>
            </w:r>
            <w:bookmarkEnd w:id="0"/>
            <w:bookmarkEnd w:id="1"/>
            <w:bookmarkEnd w:id="2"/>
            <w:bookmarkEnd w:id="3"/>
            <w:bookmarkEnd w:id="4"/>
            <w:bookmarkEnd w:id="5"/>
            <w:bookmarkEnd w:id="6"/>
          </w:p>
          <w:p w:rsidR="00B51444" w:rsidRDefault="00B51444" w:rsidP="00D66188">
            <w:pPr>
              <w:pStyle w:val="DHHSreportsubtitlewhite"/>
              <w:rPr>
                <w:sz w:val="50"/>
                <w:szCs w:val="50"/>
              </w:rPr>
            </w:pPr>
            <w:r w:rsidRPr="00613878">
              <w:rPr>
                <w:sz w:val="50"/>
                <w:szCs w:val="50"/>
              </w:rPr>
              <w:t xml:space="preserve">Community Sports Infrastructure </w:t>
            </w:r>
            <w:r w:rsidR="00D87BF9">
              <w:rPr>
                <w:sz w:val="50"/>
                <w:szCs w:val="50"/>
              </w:rPr>
              <w:t>Loan</w:t>
            </w:r>
            <w:r w:rsidR="008E6962">
              <w:rPr>
                <w:sz w:val="50"/>
                <w:szCs w:val="50"/>
              </w:rPr>
              <w:t>s</w:t>
            </w:r>
            <w:r w:rsidR="00D87BF9">
              <w:rPr>
                <w:sz w:val="50"/>
                <w:szCs w:val="50"/>
              </w:rPr>
              <w:t xml:space="preserve"> Scheme</w:t>
            </w:r>
            <w:r w:rsidRPr="00613878">
              <w:rPr>
                <w:sz w:val="50"/>
                <w:szCs w:val="50"/>
              </w:rPr>
              <w:t xml:space="preserve">  </w:t>
            </w:r>
          </w:p>
          <w:p w:rsidR="00B51444" w:rsidRPr="003072C6" w:rsidRDefault="00B51444" w:rsidP="00D66188">
            <w:pPr>
              <w:pStyle w:val="DHHSreportsubtitlewhite"/>
            </w:pPr>
            <w:r>
              <w:t>G</w:t>
            </w:r>
            <w:r w:rsidRPr="00613878">
              <w:t>uidelines</w:t>
            </w:r>
          </w:p>
        </w:tc>
      </w:tr>
      <w:tr w:rsidR="00B51444" w:rsidRPr="003072C6" w:rsidTr="00EF1F07">
        <w:trPr>
          <w:trHeight w:val="4664"/>
        </w:trPr>
        <w:tc>
          <w:tcPr>
            <w:tcW w:w="7938" w:type="dxa"/>
            <w:shd w:val="clear" w:color="auto" w:fill="auto"/>
          </w:tcPr>
          <w:p w:rsidR="00B51444" w:rsidRDefault="00B51444" w:rsidP="00D66188">
            <w:pPr>
              <w:pStyle w:val="Coverinstructions"/>
            </w:pPr>
          </w:p>
          <w:p w:rsidR="0017277A" w:rsidRDefault="0017277A" w:rsidP="00D66188">
            <w:pPr>
              <w:pStyle w:val="Coverinstructions"/>
              <w:rPr>
                <w:sz w:val="20"/>
              </w:rPr>
            </w:pPr>
          </w:p>
          <w:p w:rsidR="00EF1F07" w:rsidRDefault="00EF1F07" w:rsidP="00D66188">
            <w:pPr>
              <w:pStyle w:val="Coverinstructions"/>
              <w:rPr>
                <w:sz w:val="20"/>
              </w:rPr>
            </w:pPr>
          </w:p>
          <w:p w:rsidR="00EF1F07" w:rsidRPr="00EF1F07" w:rsidRDefault="00EF1F07" w:rsidP="00D66188">
            <w:pPr>
              <w:pStyle w:val="Coverinstructions"/>
              <w:rPr>
                <w:sz w:val="20"/>
              </w:rPr>
            </w:pPr>
          </w:p>
        </w:tc>
      </w:tr>
    </w:tbl>
    <w:p w:rsidR="00B51444" w:rsidRPr="003072C6" w:rsidRDefault="00B51444" w:rsidP="00B51444">
      <w:pPr>
        <w:pStyle w:val="DHHSbodynospace"/>
        <w:ind w:left="-454"/>
      </w:pPr>
    </w:p>
    <w:p w:rsidR="00B51444" w:rsidRDefault="00B51444" w:rsidP="00B51444">
      <w:pPr>
        <w:pStyle w:val="DHHSbodynospace"/>
        <w:sectPr w:rsidR="00B51444">
          <w:footerReference w:type="default" r:id="rId10"/>
          <w:type w:val="oddPage"/>
          <w:pgSz w:w="11906" w:h="16838"/>
          <w:pgMar w:top="3969" w:right="1304" w:bottom="1134" w:left="1304" w:header="454" w:footer="567" w:gutter="0"/>
          <w:cols w:space="720"/>
          <w:docGrid w:linePitch="360"/>
        </w:sectPr>
      </w:pPr>
    </w:p>
    <w:p w:rsidR="0017277A" w:rsidRDefault="0017277A" w:rsidP="00B51444">
      <w:pPr>
        <w:pStyle w:val="DHHSbodynospace"/>
        <w:rPr>
          <w:rFonts w:cs="Arial"/>
          <w:sz w:val="24"/>
          <w:szCs w:val="24"/>
        </w:rPr>
      </w:pPr>
    </w:p>
    <w:p w:rsidR="0017277A" w:rsidRDefault="0017277A" w:rsidP="00B51444">
      <w:pPr>
        <w:pStyle w:val="DHHSbodynospace"/>
        <w:rPr>
          <w:rFonts w:cs="Arial"/>
          <w:sz w:val="24"/>
          <w:szCs w:val="24"/>
        </w:rPr>
      </w:pPr>
    </w:p>
    <w:p w:rsidR="0017277A" w:rsidRDefault="0017277A" w:rsidP="00B51444">
      <w:pPr>
        <w:pStyle w:val="DHHSbodynospace"/>
        <w:rPr>
          <w:rFonts w:cs="Arial"/>
          <w:sz w:val="24"/>
          <w:szCs w:val="24"/>
        </w:rPr>
      </w:pPr>
    </w:p>
    <w:p w:rsidR="00EF1F07" w:rsidRDefault="00EF1F07" w:rsidP="00B51444">
      <w:pPr>
        <w:pStyle w:val="DHHSbodynospace"/>
        <w:rPr>
          <w:rFonts w:cs="Arial"/>
          <w:sz w:val="24"/>
          <w:szCs w:val="24"/>
        </w:rPr>
      </w:pPr>
    </w:p>
    <w:p w:rsidR="00EF1F07" w:rsidRDefault="00EF1F07" w:rsidP="00B51444">
      <w:pPr>
        <w:pStyle w:val="DHHSbodynospace"/>
        <w:rPr>
          <w:rFonts w:cs="Arial"/>
          <w:sz w:val="24"/>
          <w:szCs w:val="24"/>
        </w:rPr>
      </w:pPr>
    </w:p>
    <w:p w:rsidR="00EF1F07" w:rsidRDefault="00EF1F07" w:rsidP="00B51444">
      <w:pPr>
        <w:pStyle w:val="DHHSbodynospace"/>
        <w:rPr>
          <w:rFonts w:cs="Arial"/>
          <w:sz w:val="24"/>
          <w:szCs w:val="24"/>
        </w:rPr>
      </w:pPr>
    </w:p>
    <w:p w:rsidR="00B51444" w:rsidRPr="00625483" w:rsidRDefault="00C836BE" w:rsidP="00B51444">
      <w:pPr>
        <w:pStyle w:val="DHHSbodynospace"/>
      </w:pPr>
      <w:r>
        <w:rPr>
          <w:noProof/>
          <w:lang w:eastAsia="en-AU"/>
        </w:rPr>
        <w:lastRenderedPageBreak/>
        <mc:AlternateContent>
          <mc:Choice Requires="wps">
            <w:drawing>
              <wp:anchor distT="0" distB="0" distL="114300" distR="114300" simplePos="0" relativeHeight="251660288" behindDoc="0" locked="0" layoutInCell="1" allowOverlap="1" wp14:anchorId="000600A6" wp14:editId="015387F2">
                <wp:simplePos x="0" y="0"/>
                <wp:positionH relativeFrom="column">
                  <wp:posOffset>4572000</wp:posOffset>
                </wp:positionH>
                <wp:positionV relativeFrom="paragraph">
                  <wp:posOffset>10172700</wp:posOffset>
                </wp:positionV>
                <wp:extent cx="2514600" cy="34290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BCE" w:rsidRDefault="00FA4BCE" w:rsidP="00B51444">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3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D/xSK3tAIAALoFAAAO&#10;AAAAAAAAAAAAAAAAAC4CAABkcnMvZTJvRG9jLnhtbFBLAQItABQABgAIAAAAIQBYhRto3AAAAA4B&#10;AAAPAAAAAAAAAAAAAAAAAA4FAABkcnMvZG93bnJldi54bWxQSwUGAAAAAAQABADzAAAAFwYAAAAA&#10;" filled="f" stroked="f">
                <v:textbox>
                  <w:txbxContent>
                    <w:p w:rsidR="00FA4BCE" w:rsidRDefault="00FA4BCE" w:rsidP="00B51444">
                      <w:pPr>
                        <w:jc w:val="right"/>
                      </w:pPr>
                      <w:r w:rsidRPr="000147AF">
                        <w:rPr>
                          <w:rFonts w:ascii="Arial" w:hAnsi="Arial" w:cs="Arial"/>
                          <w:color w:val="808080"/>
                          <w:sz w:val="22"/>
                          <w:szCs w:val="22"/>
                        </w:rPr>
                        <w:t>Department of Health</w:t>
                      </w:r>
                    </w:p>
                  </w:txbxContent>
                </v:textbox>
              </v:shape>
            </w:pict>
          </mc:Fallback>
        </mc:AlternateContent>
      </w:r>
      <w:r w:rsidR="00B51444" w:rsidRPr="003231FE">
        <w:rPr>
          <w:rFonts w:cs="Arial"/>
          <w:sz w:val="24"/>
          <w:szCs w:val="24"/>
        </w:rPr>
        <w:t>Authorised and published by the Victorian Government, 1 Treasury Place, Melbourne.</w:t>
      </w:r>
    </w:p>
    <w:p w:rsidR="00B51444" w:rsidRPr="003231FE" w:rsidRDefault="00B51444" w:rsidP="00B51444">
      <w:pPr>
        <w:pStyle w:val="DHHSbody"/>
        <w:rPr>
          <w:rFonts w:cs="Arial"/>
          <w:sz w:val="24"/>
          <w:szCs w:val="24"/>
        </w:rPr>
      </w:pPr>
      <w:r w:rsidRPr="003231FE">
        <w:rPr>
          <w:rFonts w:cs="Arial"/>
          <w:sz w:val="24"/>
          <w:szCs w:val="24"/>
        </w:rPr>
        <w:t xml:space="preserve">© State of Victoria, </w:t>
      </w:r>
      <w:r>
        <w:rPr>
          <w:rFonts w:cs="Arial"/>
          <w:sz w:val="24"/>
          <w:szCs w:val="24"/>
        </w:rPr>
        <w:t xml:space="preserve">Department of Health and Human Services, </w:t>
      </w:r>
      <w:r w:rsidR="008E6962">
        <w:rPr>
          <w:rFonts w:cs="Arial"/>
          <w:sz w:val="24"/>
          <w:szCs w:val="24"/>
        </w:rPr>
        <w:t>July</w:t>
      </w:r>
      <w:r w:rsidR="00B375C0">
        <w:rPr>
          <w:rFonts w:cs="Arial"/>
          <w:sz w:val="24"/>
          <w:szCs w:val="24"/>
        </w:rPr>
        <w:t xml:space="preserve"> </w:t>
      </w:r>
      <w:r>
        <w:rPr>
          <w:rFonts w:cs="Arial"/>
          <w:sz w:val="24"/>
          <w:szCs w:val="24"/>
        </w:rPr>
        <w:t>201</w:t>
      </w:r>
      <w:r w:rsidR="00F260DB">
        <w:rPr>
          <w:rFonts w:cs="Arial"/>
          <w:sz w:val="24"/>
          <w:szCs w:val="24"/>
        </w:rPr>
        <w:t>8</w:t>
      </w:r>
    </w:p>
    <w:p w:rsidR="00B51444" w:rsidRPr="003231FE" w:rsidRDefault="00B51444" w:rsidP="00B51444">
      <w:pPr>
        <w:pStyle w:val="DHHSbody"/>
        <w:rPr>
          <w:rFonts w:cs="Arial"/>
          <w:b/>
          <w:sz w:val="24"/>
          <w:szCs w:val="24"/>
          <w:lang w:val="en-US"/>
        </w:rPr>
      </w:pPr>
    </w:p>
    <w:p w:rsidR="00B51444" w:rsidRPr="003231FE" w:rsidRDefault="00B51444" w:rsidP="00B51444">
      <w:pPr>
        <w:pStyle w:val="DHHSbody"/>
        <w:rPr>
          <w:rFonts w:cs="Arial"/>
          <w:b/>
          <w:sz w:val="24"/>
          <w:szCs w:val="24"/>
          <w:lang w:val="en-US"/>
        </w:rPr>
      </w:pPr>
      <w:r w:rsidRPr="003231FE">
        <w:rPr>
          <w:rFonts w:cs="Arial"/>
          <w:b/>
          <w:sz w:val="24"/>
          <w:szCs w:val="24"/>
          <w:lang w:val="en-US"/>
        </w:rPr>
        <w:t xml:space="preserve">Accessibility </w:t>
      </w:r>
    </w:p>
    <w:p w:rsidR="00B51444" w:rsidRPr="003231FE" w:rsidRDefault="00B51444" w:rsidP="00B51444">
      <w:pPr>
        <w:pStyle w:val="DHHSbody"/>
        <w:rPr>
          <w:rFonts w:cs="Arial"/>
          <w:sz w:val="24"/>
          <w:szCs w:val="24"/>
          <w:lang w:val="en-US"/>
        </w:rPr>
      </w:pPr>
      <w:r w:rsidRPr="003231FE">
        <w:rPr>
          <w:rFonts w:cs="Arial"/>
          <w:sz w:val="24"/>
          <w:szCs w:val="24"/>
          <w:lang w:val="en-US"/>
        </w:rPr>
        <w:t>To receive this publication in an accessible format, please contact the Grants Information Line on 1300 366 356, using the</w:t>
      </w:r>
      <w:r w:rsidRPr="003231FE">
        <w:rPr>
          <w:rFonts w:cs="Arial"/>
          <w:sz w:val="24"/>
          <w:szCs w:val="24"/>
        </w:rPr>
        <w:t xml:space="preserve"> </w:t>
      </w:r>
      <w:r w:rsidRPr="003231FE">
        <w:rPr>
          <w:rFonts w:cs="Arial"/>
          <w:sz w:val="24"/>
          <w:szCs w:val="24"/>
          <w:lang w:val="en-US"/>
        </w:rPr>
        <w:t>National Rel</w:t>
      </w:r>
      <w:r>
        <w:rPr>
          <w:rFonts w:cs="Arial"/>
          <w:sz w:val="24"/>
          <w:szCs w:val="24"/>
          <w:lang w:val="en-US"/>
        </w:rPr>
        <w:t xml:space="preserve">ay Service 13 36 77 if required or email </w:t>
      </w:r>
      <w:hyperlink r:id="rId11" w:history="1">
        <w:r w:rsidRPr="00B47491">
          <w:rPr>
            <w:rStyle w:val="Hyperlink"/>
            <w:rFonts w:cs="Arial"/>
            <w:b/>
            <w:sz w:val="24"/>
            <w:szCs w:val="24"/>
            <w:lang w:val="en-US"/>
          </w:rPr>
          <w:t>grantsinfo@sport.vic.gov.au</w:t>
        </w:r>
      </w:hyperlink>
      <w:r>
        <w:rPr>
          <w:rFonts w:cs="Arial"/>
          <w:sz w:val="24"/>
          <w:szCs w:val="24"/>
          <w:lang w:val="en-US"/>
        </w:rPr>
        <w:t xml:space="preserve"> </w:t>
      </w:r>
    </w:p>
    <w:p w:rsidR="00B51444" w:rsidRPr="003231FE" w:rsidRDefault="00B51444" w:rsidP="00B51444">
      <w:pPr>
        <w:pStyle w:val="DHHSbody"/>
        <w:rPr>
          <w:rFonts w:cs="Arial"/>
          <w:sz w:val="24"/>
          <w:szCs w:val="24"/>
          <w:lang w:val="en-US"/>
        </w:rPr>
      </w:pPr>
    </w:p>
    <w:p w:rsidR="00B51444" w:rsidRDefault="00B51444" w:rsidP="00B51444">
      <w:pPr>
        <w:pStyle w:val="DHHSbody"/>
        <w:rPr>
          <w:rFonts w:cs="Arial"/>
          <w:b/>
          <w:sz w:val="24"/>
          <w:szCs w:val="24"/>
        </w:rPr>
      </w:pPr>
      <w:r w:rsidRPr="003231FE">
        <w:rPr>
          <w:rFonts w:cs="Arial"/>
          <w:sz w:val="24"/>
          <w:szCs w:val="24"/>
        </w:rPr>
        <w:t xml:space="preserve">Available at </w:t>
      </w:r>
      <w:hyperlink r:id="rId12" w:history="1">
        <w:r w:rsidRPr="004A470C">
          <w:rPr>
            <w:rStyle w:val="Hyperlink"/>
            <w:rFonts w:cs="Arial"/>
            <w:b/>
            <w:sz w:val="24"/>
            <w:szCs w:val="24"/>
          </w:rPr>
          <w:t>www.sport.vic.gov.au/grants</w:t>
        </w:r>
      </w:hyperlink>
    </w:p>
    <w:p w:rsidR="00B51444" w:rsidRPr="00B47491" w:rsidRDefault="002E7E30" w:rsidP="00B51444">
      <w:pPr>
        <w:pStyle w:val="DHHSbody"/>
        <w:rPr>
          <w:rFonts w:cs="Arial"/>
          <w:b/>
          <w:sz w:val="24"/>
          <w:szCs w:val="24"/>
          <w:u w:val="dotted"/>
        </w:rPr>
      </w:pPr>
      <w:r>
        <w:rPr>
          <w:rFonts w:cs="Arial"/>
          <w:color w:val="000000"/>
          <w:sz w:val="24"/>
          <w:szCs w:val="24"/>
          <w:lang w:eastAsia="en-AU"/>
        </w:rPr>
        <w:t>(</w:t>
      </w:r>
      <w:r w:rsidR="00E34771" w:rsidRPr="00E34771">
        <w:rPr>
          <w:rFonts w:cs="Arial"/>
          <w:color w:val="000000"/>
          <w:sz w:val="24"/>
          <w:szCs w:val="24"/>
          <w:lang w:eastAsia="en-AU"/>
        </w:rPr>
        <w:t>1807011</w:t>
      </w:r>
      <w:r w:rsidR="00B51444" w:rsidRPr="00E53161">
        <w:rPr>
          <w:rFonts w:cs="Arial"/>
          <w:sz w:val="24"/>
          <w:szCs w:val="24"/>
        </w:rPr>
        <w:t>)</w:t>
      </w:r>
    </w:p>
    <w:p w:rsidR="00B51444" w:rsidRPr="003072C6" w:rsidRDefault="00B51444" w:rsidP="00B51444">
      <w:pPr>
        <w:pStyle w:val="DHHSbodynospace"/>
      </w:pPr>
      <w:r w:rsidRPr="003072C6">
        <w:br w:type="page"/>
      </w:r>
    </w:p>
    <w:p w:rsidR="00634BF9" w:rsidRPr="00E53161" w:rsidRDefault="00634BF9" w:rsidP="00634BF9">
      <w:pPr>
        <w:pStyle w:val="Heading2"/>
        <w:spacing w:before="0" w:after="0" w:line="240" w:lineRule="auto"/>
        <w:rPr>
          <w:color w:val="auto"/>
          <w:sz w:val="24"/>
          <w:szCs w:val="24"/>
        </w:rPr>
      </w:pPr>
      <w:bookmarkStart w:id="7" w:name="_Toc518991268"/>
      <w:r w:rsidRPr="00E53161">
        <w:rPr>
          <w:color w:val="auto"/>
          <w:sz w:val="24"/>
          <w:szCs w:val="24"/>
        </w:rPr>
        <w:lastRenderedPageBreak/>
        <w:t>Message from the Minister for Sport, John Eren</w:t>
      </w:r>
      <w:bookmarkEnd w:id="7"/>
    </w:p>
    <w:p w:rsidR="003E3B32" w:rsidRDefault="003E3B32" w:rsidP="003E3B32">
      <w:pPr>
        <w:pStyle w:val="DHHSbody"/>
      </w:pPr>
    </w:p>
    <w:p w:rsidR="003E3B32" w:rsidRDefault="003E3B32" w:rsidP="003E3B32">
      <w:pPr>
        <w:pStyle w:val="DHHSbody"/>
      </w:pPr>
      <w:r>
        <w:t xml:space="preserve">In 2017 we released Active Victoria - a strategic framework to increase sport and recreation across Victoria. This framework identified a need to find new sources of investment to deliver community sports infrastructure. </w:t>
      </w:r>
    </w:p>
    <w:p w:rsidR="003E3B32" w:rsidRDefault="003E3B32" w:rsidP="003E3B32">
      <w:pPr>
        <w:pStyle w:val="DHHSbody"/>
      </w:pPr>
      <w:r>
        <w:t xml:space="preserve">In response to this, the Andrews Labor Government announced a $100 million </w:t>
      </w:r>
      <w:r w:rsidRPr="00880543">
        <w:rPr>
          <w:i/>
        </w:rPr>
        <w:t>Community Sports Infrastructure Loans Scheme</w:t>
      </w:r>
      <w:r>
        <w:t xml:space="preserve"> in the </w:t>
      </w:r>
      <w:r w:rsidR="00D345C8">
        <w:t xml:space="preserve">2018-19 </w:t>
      </w:r>
      <w:r>
        <w:t>Victorian Budget as part of a broader approach to increase and simplify infrastructure investment.</w:t>
      </w:r>
    </w:p>
    <w:p w:rsidR="003E3B32" w:rsidRDefault="003E3B32" w:rsidP="003E3B32">
      <w:pPr>
        <w:pStyle w:val="DHHSbody"/>
      </w:pPr>
      <w:r>
        <w:t xml:space="preserve">This scheme is in addition to the Labor Government’s record investment in community sports infrastructure – $241.6 million in the </w:t>
      </w:r>
      <w:r w:rsidR="00D345C8">
        <w:t xml:space="preserve">2018-19 </w:t>
      </w:r>
      <w:r>
        <w:t xml:space="preserve">Victorian Budget and over </w:t>
      </w:r>
      <w:r w:rsidR="00D345C8">
        <w:t>$400 million</w:t>
      </w:r>
      <w:r>
        <w:t xml:space="preserve"> since 2014.</w:t>
      </w:r>
    </w:p>
    <w:p w:rsidR="003E3B32" w:rsidRDefault="003E3B32" w:rsidP="003E3B32">
      <w:pPr>
        <w:pStyle w:val="DHHSbody"/>
      </w:pPr>
      <w:r>
        <w:t xml:space="preserve">The scheme will provide councils, clubs, associations, education institutions and </w:t>
      </w:r>
      <w:r w:rsidR="00137472">
        <w:t>facility managers access to low-</w:t>
      </w:r>
      <w:r>
        <w:t xml:space="preserve">interest loans guaranteed by the Victorian Government. These loans can be used to develop high-quality sport and recreation infrastructure that increases access to sport and active recreation in Victoria. </w:t>
      </w:r>
    </w:p>
    <w:p w:rsidR="003E3B32" w:rsidRDefault="003E3B32" w:rsidP="003E3B32">
      <w:pPr>
        <w:pStyle w:val="DHHSbody"/>
      </w:pPr>
      <w:r>
        <w:t>Eligible projects include the upgrade and development of significant community sport and recreation infrastructure such as indoor or outdoor aquatic leisure facilities, indoor sports stadiums, community sport precincts and synthetic sports surfaces.</w:t>
      </w:r>
    </w:p>
    <w:p w:rsidR="003E3B32" w:rsidRDefault="003E3B32" w:rsidP="003E3B32">
      <w:pPr>
        <w:pStyle w:val="DHHSbody"/>
      </w:pPr>
      <w:r>
        <w:t xml:space="preserve">The </w:t>
      </w:r>
      <w:r w:rsidRPr="00880543">
        <w:rPr>
          <w:i/>
        </w:rPr>
        <w:t>Community Sports Infrastructure Loans Scheme</w:t>
      </w:r>
      <w:r>
        <w:t xml:space="preserve"> is a significant addition to existing infrastructure programs that reflect our </w:t>
      </w:r>
      <w:r w:rsidR="00D345C8">
        <w:t>commitment to health, wellbeing</w:t>
      </w:r>
      <w:r>
        <w:t xml:space="preserve"> and community sport and recreation.</w:t>
      </w:r>
    </w:p>
    <w:p w:rsidR="003E3B32" w:rsidRDefault="003E3B32" w:rsidP="003E3B32">
      <w:pPr>
        <w:pStyle w:val="DHHSbody"/>
      </w:pPr>
      <w:r>
        <w:t>This program will also help communities, both metropolitan and regional, enhance their chances of attracting and hosting local and regional competitions, tournaments and events.</w:t>
      </w:r>
    </w:p>
    <w:p w:rsidR="003E3B32" w:rsidRDefault="003E3B32" w:rsidP="003E3B32">
      <w:pPr>
        <w:pStyle w:val="DHHSbody"/>
      </w:pPr>
      <w:r>
        <w:t xml:space="preserve">I know that by working together we can make sport more inclusive, increase local participation, stimulate economies and create more local jobs. </w:t>
      </w:r>
    </w:p>
    <w:p w:rsidR="00B51444" w:rsidRPr="00EF1F07" w:rsidRDefault="003E3B32" w:rsidP="00B51444">
      <w:pPr>
        <w:autoSpaceDE w:val="0"/>
        <w:autoSpaceDN w:val="0"/>
        <w:adjustRightInd w:val="0"/>
        <w:jc w:val="both"/>
        <w:rPr>
          <w:rFonts w:ascii="Arial" w:eastAsia="Times" w:hAnsi="Arial"/>
        </w:rPr>
      </w:pPr>
      <w:r w:rsidRPr="00EF1F07">
        <w:rPr>
          <w:rFonts w:ascii="Arial" w:eastAsia="Times" w:hAnsi="Arial"/>
        </w:rPr>
        <w:t xml:space="preserve">I look forward to seeing many exciting projects and benefits come out of the </w:t>
      </w:r>
      <w:r w:rsidRPr="00880543">
        <w:rPr>
          <w:rFonts w:ascii="Arial" w:eastAsia="Times" w:hAnsi="Arial"/>
          <w:i/>
        </w:rPr>
        <w:t>Community Sports Infrastructure Loans Scheme</w:t>
      </w:r>
      <w:r w:rsidRPr="00EF1F07">
        <w:rPr>
          <w:rFonts w:ascii="Arial" w:eastAsia="Times" w:hAnsi="Arial"/>
        </w:rPr>
        <w:t>.</w:t>
      </w:r>
    </w:p>
    <w:p w:rsidR="003E3B32" w:rsidRPr="00EF1F07" w:rsidRDefault="003E3B32" w:rsidP="00B51444">
      <w:pPr>
        <w:autoSpaceDE w:val="0"/>
        <w:autoSpaceDN w:val="0"/>
        <w:adjustRightInd w:val="0"/>
        <w:jc w:val="both"/>
        <w:rPr>
          <w:rFonts w:ascii="Arial" w:hAnsi="Arial" w:cs="Arial"/>
          <w:b/>
          <w:color w:val="000000"/>
          <w:szCs w:val="24"/>
          <w:lang w:eastAsia="en-AU"/>
        </w:rPr>
      </w:pPr>
    </w:p>
    <w:p w:rsidR="00EF1F07" w:rsidRPr="00EF1F07" w:rsidRDefault="00EF1F07" w:rsidP="00B51444">
      <w:pPr>
        <w:autoSpaceDE w:val="0"/>
        <w:autoSpaceDN w:val="0"/>
        <w:adjustRightInd w:val="0"/>
        <w:jc w:val="both"/>
        <w:rPr>
          <w:rFonts w:ascii="Arial" w:hAnsi="Arial" w:cs="Arial"/>
          <w:b/>
          <w:color w:val="000000"/>
          <w:szCs w:val="24"/>
          <w:lang w:eastAsia="en-AU"/>
        </w:rPr>
      </w:pPr>
    </w:p>
    <w:p w:rsidR="00B51444" w:rsidRPr="00E34742" w:rsidRDefault="00B51444" w:rsidP="00B51444">
      <w:pPr>
        <w:autoSpaceDE w:val="0"/>
        <w:autoSpaceDN w:val="0"/>
        <w:adjustRightInd w:val="0"/>
        <w:jc w:val="both"/>
        <w:rPr>
          <w:rFonts w:ascii="Arial" w:hAnsi="Arial" w:cs="Arial"/>
          <w:b/>
          <w:color w:val="000000"/>
          <w:sz w:val="24"/>
          <w:szCs w:val="24"/>
          <w:lang w:eastAsia="en-AU"/>
        </w:rPr>
      </w:pPr>
      <w:r w:rsidRPr="00E34742">
        <w:rPr>
          <w:rFonts w:ascii="Arial" w:hAnsi="Arial" w:cs="Arial"/>
          <w:b/>
          <w:color w:val="000000"/>
          <w:sz w:val="24"/>
          <w:szCs w:val="24"/>
          <w:lang w:eastAsia="en-AU"/>
        </w:rPr>
        <w:t>Hon John Eren MP</w:t>
      </w:r>
    </w:p>
    <w:p w:rsidR="003E3B32" w:rsidRPr="00EF1F07" w:rsidRDefault="00B51444" w:rsidP="00B51444">
      <w:pPr>
        <w:autoSpaceDE w:val="0"/>
        <w:autoSpaceDN w:val="0"/>
        <w:adjustRightInd w:val="0"/>
        <w:jc w:val="both"/>
        <w:rPr>
          <w:rFonts w:ascii="Arial" w:eastAsia="Times" w:hAnsi="Arial"/>
        </w:rPr>
      </w:pPr>
      <w:r w:rsidRPr="00EF1F07">
        <w:rPr>
          <w:rFonts w:ascii="Arial" w:eastAsia="Times" w:hAnsi="Arial"/>
        </w:rPr>
        <w:br/>
      </w:r>
    </w:p>
    <w:p w:rsidR="003E3B32" w:rsidRDefault="003E3B32" w:rsidP="00B51444">
      <w:pPr>
        <w:autoSpaceDE w:val="0"/>
        <w:autoSpaceDN w:val="0"/>
        <w:adjustRightInd w:val="0"/>
        <w:jc w:val="both"/>
        <w:rPr>
          <w:rFonts w:ascii="Arial" w:eastAsia="Times" w:hAnsi="Arial"/>
        </w:rPr>
      </w:pPr>
    </w:p>
    <w:p w:rsidR="00EF1F07" w:rsidRDefault="00EF1F07" w:rsidP="00B51444">
      <w:pPr>
        <w:autoSpaceDE w:val="0"/>
        <w:autoSpaceDN w:val="0"/>
        <w:adjustRightInd w:val="0"/>
        <w:jc w:val="both"/>
        <w:rPr>
          <w:rFonts w:ascii="Arial" w:eastAsia="Times" w:hAnsi="Arial"/>
        </w:rPr>
      </w:pPr>
    </w:p>
    <w:p w:rsidR="00EF1F07" w:rsidRPr="00EF1F07" w:rsidRDefault="00EF1F07" w:rsidP="00B51444">
      <w:pPr>
        <w:autoSpaceDE w:val="0"/>
        <w:autoSpaceDN w:val="0"/>
        <w:adjustRightInd w:val="0"/>
        <w:jc w:val="both"/>
        <w:rPr>
          <w:rFonts w:ascii="Arial" w:eastAsia="Times" w:hAnsi="Arial"/>
        </w:rPr>
      </w:pPr>
    </w:p>
    <w:p w:rsidR="00B51444" w:rsidRDefault="00B51444" w:rsidP="00B51444">
      <w:pPr>
        <w:autoSpaceDE w:val="0"/>
        <w:autoSpaceDN w:val="0"/>
        <w:adjustRightInd w:val="0"/>
        <w:jc w:val="both"/>
        <w:rPr>
          <w:rFonts w:ascii="Arial" w:hAnsi="Arial" w:cs="Arial"/>
          <w:color w:val="000000"/>
          <w:sz w:val="24"/>
          <w:szCs w:val="24"/>
          <w:lang w:eastAsia="en-AU"/>
        </w:rPr>
      </w:pPr>
      <w:r w:rsidRPr="00E34742">
        <w:rPr>
          <w:rFonts w:ascii="Arial" w:hAnsi="Arial" w:cs="Arial"/>
          <w:color w:val="000000"/>
          <w:sz w:val="24"/>
          <w:szCs w:val="24"/>
          <w:lang w:eastAsia="en-AU"/>
        </w:rPr>
        <w:t>Minister for Sport</w:t>
      </w:r>
    </w:p>
    <w:p w:rsidR="00634BF9" w:rsidRDefault="00634BF9"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Default="00EF1F07" w:rsidP="00B51444">
      <w:pPr>
        <w:autoSpaceDE w:val="0"/>
        <w:autoSpaceDN w:val="0"/>
        <w:adjustRightInd w:val="0"/>
        <w:jc w:val="both"/>
        <w:rPr>
          <w:rFonts w:ascii="Arial" w:hAnsi="Arial" w:cs="Arial"/>
          <w:color w:val="000000"/>
          <w:szCs w:val="24"/>
          <w:lang w:eastAsia="en-AU"/>
        </w:rPr>
      </w:pPr>
    </w:p>
    <w:p w:rsidR="00EF1F07" w:rsidRPr="00EF1F07" w:rsidRDefault="00EF1F07" w:rsidP="00B51444">
      <w:pPr>
        <w:autoSpaceDE w:val="0"/>
        <w:autoSpaceDN w:val="0"/>
        <w:adjustRightInd w:val="0"/>
        <w:jc w:val="both"/>
        <w:rPr>
          <w:rFonts w:ascii="Arial" w:hAnsi="Arial" w:cs="Arial"/>
          <w:color w:val="000000"/>
          <w:szCs w:val="24"/>
          <w:lang w:eastAsia="en-AU"/>
        </w:rPr>
      </w:pPr>
    </w:p>
    <w:p w:rsidR="00461622" w:rsidRPr="00E53161" w:rsidRDefault="00461622" w:rsidP="00461622">
      <w:pPr>
        <w:pStyle w:val="Heading2"/>
        <w:spacing w:before="0" w:after="0" w:line="240" w:lineRule="auto"/>
        <w:rPr>
          <w:color w:val="auto"/>
          <w:sz w:val="24"/>
          <w:szCs w:val="24"/>
        </w:rPr>
      </w:pPr>
      <w:bookmarkStart w:id="8" w:name="_Toc518991269"/>
      <w:r w:rsidRPr="00E53161">
        <w:rPr>
          <w:color w:val="auto"/>
          <w:sz w:val="24"/>
          <w:szCs w:val="24"/>
        </w:rPr>
        <w:lastRenderedPageBreak/>
        <w:t xml:space="preserve">Message from the </w:t>
      </w:r>
      <w:r w:rsidR="003E3B32" w:rsidRPr="003E3B32">
        <w:rPr>
          <w:color w:val="auto"/>
          <w:sz w:val="24"/>
          <w:szCs w:val="24"/>
        </w:rPr>
        <w:t>Parliamentary Secretary for Treasury and Finance</w:t>
      </w:r>
      <w:r w:rsidRPr="00E53161">
        <w:rPr>
          <w:color w:val="auto"/>
          <w:sz w:val="24"/>
          <w:szCs w:val="24"/>
        </w:rPr>
        <w:t xml:space="preserve">, </w:t>
      </w:r>
      <w:r w:rsidR="003E3B32" w:rsidRPr="003E3B32">
        <w:rPr>
          <w:color w:val="auto"/>
          <w:sz w:val="24"/>
          <w:szCs w:val="24"/>
        </w:rPr>
        <w:t xml:space="preserve">Daniel </w:t>
      </w:r>
      <w:proofErr w:type="spellStart"/>
      <w:r w:rsidR="003E3B32" w:rsidRPr="003E3B32">
        <w:rPr>
          <w:color w:val="auto"/>
          <w:sz w:val="24"/>
          <w:szCs w:val="24"/>
        </w:rPr>
        <w:t>Mulino</w:t>
      </w:r>
      <w:bookmarkEnd w:id="8"/>
      <w:proofErr w:type="spellEnd"/>
    </w:p>
    <w:p w:rsidR="003E3B32" w:rsidRDefault="003E3B32" w:rsidP="007B0AB4">
      <w:pPr>
        <w:pStyle w:val="DHHSbody"/>
      </w:pPr>
    </w:p>
    <w:p w:rsidR="001B269F" w:rsidRDefault="001B269F" w:rsidP="001B269F">
      <w:pPr>
        <w:pStyle w:val="DHHSbody"/>
      </w:pPr>
      <w:r w:rsidRPr="001B269F">
        <w:t xml:space="preserve">Whilst we’re renowned for the quality of our international sporting offerings, it is grassroots sport that is the bedrock of our towns and suburbs. </w:t>
      </w:r>
    </w:p>
    <w:p w:rsidR="001B269F" w:rsidRDefault="001B269F" w:rsidP="001B269F">
      <w:pPr>
        <w:pStyle w:val="DHHSbody"/>
      </w:pPr>
      <w:r w:rsidRPr="001B269F">
        <w:t xml:space="preserve">That’s why the </w:t>
      </w:r>
      <w:r w:rsidR="00D345C8">
        <w:t xml:space="preserve">2018-19 </w:t>
      </w:r>
      <w:r w:rsidRPr="001B269F">
        <w:t>Victorian Budget included an unprecedented investment in community s</w:t>
      </w:r>
      <w:r w:rsidR="00D345C8">
        <w:t>porting facilities across the s</w:t>
      </w:r>
      <w:r w:rsidRPr="001B269F">
        <w:t>tate.</w:t>
      </w:r>
    </w:p>
    <w:p w:rsidR="001B269F" w:rsidRDefault="001B269F" w:rsidP="001B269F">
      <w:pPr>
        <w:pStyle w:val="DHHSbody"/>
      </w:pPr>
      <w:r w:rsidRPr="001B269F">
        <w:t xml:space="preserve">Included in that investment is the new $100 million </w:t>
      </w:r>
      <w:r w:rsidRPr="00D345C8">
        <w:rPr>
          <w:i/>
        </w:rPr>
        <w:t>Community Sports Infrastructure Loans Scheme</w:t>
      </w:r>
      <w:r w:rsidRPr="001B269F">
        <w:t xml:space="preserve">, which will significantly improve local facilities and fund new sporting infrastructure. </w:t>
      </w:r>
    </w:p>
    <w:p w:rsidR="001B269F" w:rsidRDefault="001B269F" w:rsidP="001B269F">
      <w:pPr>
        <w:pStyle w:val="DHHSbody"/>
      </w:pPr>
      <w:r w:rsidRPr="001B269F">
        <w:t>The scheme will provide councils, clubs, associations, educational institutions and facility managers who have the capacity to service project loans with access to low interest loans guaranteed by the Victorian Government.</w:t>
      </w:r>
    </w:p>
    <w:p w:rsidR="001B269F" w:rsidRPr="001B269F" w:rsidRDefault="001B269F" w:rsidP="001B269F">
      <w:pPr>
        <w:pStyle w:val="DHHSbody"/>
      </w:pPr>
      <w:r w:rsidRPr="001B269F">
        <w:t>Eligible projects will include outdoor aquatic leisure facilities, indoor sports stadiums, community sport precincts and synthetic sports surfaces.</w:t>
      </w:r>
    </w:p>
    <w:p w:rsidR="001B269F" w:rsidRPr="001B269F" w:rsidRDefault="001B269F" w:rsidP="001B269F">
      <w:pPr>
        <w:pStyle w:val="DHHSbody"/>
      </w:pPr>
      <w:r w:rsidRPr="001B269F">
        <w:t>With the backing of Victoria’s prized triple A credit rating, eligible community sports organisations can access subsidised interest rates, allowing them to invest in high-quality infrastructure for their community organisations.</w:t>
      </w:r>
    </w:p>
    <w:p w:rsidR="001B269F" w:rsidRPr="001B269F" w:rsidRDefault="001B269F" w:rsidP="001B269F">
      <w:pPr>
        <w:pStyle w:val="DHHSbody"/>
      </w:pPr>
      <w:r w:rsidRPr="001B269F">
        <w:t>The initiative is part of a $241 million investment that will upgrade facilities at suburban grounds, local clubs and high-performance centres across the state.</w:t>
      </w:r>
    </w:p>
    <w:p w:rsidR="001B269F" w:rsidRPr="001B269F" w:rsidRDefault="001B269F" w:rsidP="001B269F">
      <w:pPr>
        <w:pStyle w:val="DHHSbody"/>
      </w:pPr>
      <w:r w:rsidRPr="001B269F">
        <w:t>We’re upgrading local grounds, change rooms and pavilions so everyone has the facilities they need to play and watch the sport they love. We also know that Victoria is experiencing strong demand for sp</w:t>
      </w:r>
      <w:r w:rsidR="00D345C8">
        <w:t xml:space="preserve">orts and recreation facilities </w:t>
      </w:r>
      <w:r w:rsidRPr="001B269F">
        <w:t>and we need to find new ways to address that demand.</w:t>
      </w:r>
    </w:p>
    <w:p w:rsidR="001B269F" w:rsidRPr="001B269F" w:rsidRDefault="001B269F" w:rsidP="001B269F">
      <w:pPr>
        <w:pStyle w:val="DHHSbody"/>
      </w:pPr>
      <w:r w:rsidRPr="001B269F">
        <w:t>It reflects the Andrews Labor Government’s focus on modern and accessible community sports infrastructure that can be enjoyed by everyone, regardless of their age, suburb, background, gender or ability.</w:t>
      </w:r>
    </w:p>
    <w:p w:rsidR="00EF1F07" w:rsidRDefault="001B269F" w:rsidP="001B269F">
      <w:pPr>
        <w:pStyle w:val="DHHSbody"/>
      </w:pPr>
      <w:r w:rsidRPr="001B269F">
        <w:t>Ultimately, it will bring families and local communities together and help ensure a healthier and more active Victoria.</w:t>
      </w:r>
    </w:p>
    <w:p w:rsidR="001B269F" w:rsidRDefault="001B269F" w:rsidP="001B269F">
      <w:pPr>
        <w:autoSpaceDE w:val="0"/>
        <w:autoSpaceDN w:val="0"/>
        <w:adjustRightInd w:val="0"/>
        <w:jc w:val="both"/>
        <w:rPr>
          <w:rFonts w:ascii="Arial" w:hAnsi="Arial" w:cs="Arial"/>
          <w:b/>
          <w:color w:val="000000"/>
          <w:szCs w:val="24"/>
          <w:lang w:eastAsia="en-AU"/>
        </w:rPr>
      </w:pPr>
    </w:p>
    <w:p w:rsidR="00EF1F07" w:rsidRPr="00EF1F07" w:rsidRDefault="00EF1F07" w:rsidP="00461622">
      <w:pPr>
        <w:autoSpaceDE w:val="0"/>
        <w:autoSpaceDN w:val="0"/>
        <w:adjustRightInd w:val="0"/>
        <w:jc w:val="both"/>
        <w:rPr>
          <w:rFonts w:ascii="Arial" w:hAnsi="Arial" w:cs="Arial"/>
          <w:b/>
          <w:color w:val="000000"/>
          <w:szCs w:val="24"/>
          <w:lang w:eastAsia="en-AU"/>
        </w:rPr>
      </w:pPr>
    </w:p>
    <w:p w:rsidR="00461622" w:rsidRPr="00E34742" w:rsidRDefault="003E3B32" w:rsidP="00461622">
      <w:pPr>
        <w:autoSpaceDE w:val="0"/>
        <w:autoSpaceDN w:val="0"/>
        <w:adjustRightInd w:val="0"/>
        <w:jc w:val="both"/>
        <w:rPr>
          <w:rFonts w:ascii="Arial" w:hAnsi="Arial" w:cs="Arial"/>
          <w:b/>
          <w:color w:val="000000"/>
          <w:sz w:val="24"/>
          <w:szCs w:val="24"/>
          <w:lang w:eastAsia="en-AU"/>
        </w:rPr>
      </w:pPr>
      <w:r w:rsidRPr="003E3B32">
        <w:rPr>
          <w:rFonts w:ascii="Arial" w:hAnsi="Arial" w:cs="Arial"/>
          <w:b/>
          <w:color w:val="000000"/>
          <w:sz w:val="24"/>
          <w:szCs w:val="24"/>
          <w:lang w:eastAsia="en-AU"/>
        </w:rPr>
        <w:t xml:space="preserve">Daniel </w:t>
      </w:r>
      <w:proofErr w:type="spellStart"/>
      <w:r w:rsidRPr="003E3B32">
        <w:rPr>
          <w:rFonts w:ascii="Arial" w:hAnsi="Arial" w:cs="Arial"/>
          <w:b/>
          <w:color w:val="000000"/>
          <w:sz w:val="24"/>
          <w:szCs w:val="24"/>
          <w:lang w:eastAsia="en-AU"/>
        </w:rPr>
        <w:t>Mulino</w:t>
      </w:r>
      <w:proofErr w:type="spellEnd"/>
      <w:r>
        <w:rPr>
          <w:rFonts w:ascii="Arial" w:hAnsi="Arial" w:cs="Arial"/>
          <w:b/>
          <w:color w:val="000000"/>
          <w:sz w:val="24"/>
          <w:szCs w:val="24"/>
          <w:lang w:eastAsia="en-AU"/>
        </w:rPr>
        <w:t xml:space="preserve"> </w:t>
      </w:r>
      <w:r w:rsidR="00461622" w:rsidRPr="00E34742">
        <w:rPr>
          <w:rFonts w:ascii="Arial" w:hAnsi="Arial" w:cs="Arial"/>
          <w:b/>
          <w:color w:val="000000"/>
          <w:sz w:val="24"/>
          <w:szCs w:val="24"/>
          <w:lang w:eastAsia="en-AU"/>
        </w:rPr>
        <w:t>MP</w:t>
      </w:r>
    </w:p>
    <w:p w:rsidR="00EF1F07" w:rsidRDefault="00EF1F07" w:rsidP="00461622">
      <w:pPr>
        <w:autoSpaceDE w:val="0"/>
        <w:autoSpaceDN w:val="0"/>
        <w:adjustRightInd w:val="0"/>
        <w:jc w:val="both"/>
        <w:rPr>
          <w:rFonts w:ascii="Arial" w:hAnsi="Arial" w:cs="Arial"/>
          <w:color w:val="000000"/>
          <w:szCs w:val="24"/>
          <w:lang w:eastAsia="en-AU"/>
        </w:rPr>
      </w:pPr>
    </w:p>
    <w:p w:rsidR="00EF1F07" w:rsidRDefault="00EF1F07" w:rsidP="00461622">
      <w:pPr>
        <w:autoSpaceDE w:val="0"/>
        <w:autoSpaceDN w:val="0"/>
        <w:adjustRightInd w:val="0"/>
        <w:jc w:val="both"/>
        <w:rPr>
          <w:rFonts w:ascii="Arial" w:hAnsi="Arial" w:cs="Arial"/>
          <w:color w:val="000000"/>
          <w:szCs w:val="24"/>
          <w:lang w:eastAsia="en-AU"/>
        </w:rPr>
      </w:pPr>
    </w:p>
    <w:p w:rsidR="00EF1F07" w:rsidRDefault="00EF1F07" w:rsidP="00461622">
      <w:pPr>
        <w:autoSpaceDE w:val="0"/>
        <w:autoSpaceDN w:val="0"/>
        <w:adjustRightInd w:val="0"/>
        <w:jc w:val="both"/>
        <w:rPr>
          <w:rFonts w:ascii="Arial" w:hAnsi="Arial" w:cs="Arial"/>
          <w:color w:val="000000"/>
          <w:szCs w:val="24"/>
          <w:lang w:eastAsia="en-AU"/>
        </w:rPr>
      </w:pPr>
    </w:p>
    <w:p w:rsidR="00EF1F07" w:rsidRDefault="00EF1F07" w:rsidP="00461622">
      <w:pPr>
        <w:autoSpaceDE w:val="0"/>
        <w:autoSpaceDN w:val="0"/>
        <w:adjustRightInd w:val="0"/>
        <w:jc w:val="both"/>
        <w:rPr>
          <w:rFonts w:ascii="Arial" w:hAnsi="Arial" w:cs="Arial"/>
          <w:color w:val="000000"/>
          <w:szCs w:val="24"/>
          <w:lang w:eastAsia="en-AU"/>
        </w:rPr>
      </w:pPr>
    </w:p>
    <w:p w:rsidR="00EF1F07" w:rsidRDefault="00EF1F07" w:rsidP="00461622">
      <w:pPr>
        <w:autoSpaceDE w:val="0"/>
        <w:autoSpaceDN w:val="0"/>
        <w:adjustRightInd w:val="0"/>
        <w:jc w:val="both"/>
        <w:rPr>
          <w:rFonts w:ascii="Arial" w:hAnsi="Arial" w:cs="Arial"/>
          <w:color w:val="000000"/>
          <w:szCs w:val="24"/>
          <w:lang w:eastAsia="en-AU"/>
        </w:rPr>
      </w:pPr>
    </w:p>
    <w:p w:rsidR="00461622" w:rsidRDefault="003E3B32" w:rsidP="00461622">
      <w:pPr>
        <w:autoSpaceDE w:val="0"/>
        <w:autoSpaceDN w:val="0"/>
        <w:adjustRightInd w:val="0"/>
        <w:jc w:val="both"/>
        <w:rPr>
          <w:rFonts w:ascii="Arial" w:hAnsi="Arial" w:cs="Arial"/>
          <w:color w:val="000000"/>
          <w:sz w:val="24"/>
          <w:szCs w:val="24"/>
          <w:lang w:eastAsia="en-AU"/>
        </w:rPr>
      </w:pPr>
      <w:r w:rsidRPr="003E3B32">
        <w:rPr>
          <w:rFonts w:ascii="Arial" w:hAnsi="Arial" w:cs="Arial"/>
          <w:color w:val="000000"/>
          <w:sz w:val="24"/>
          <w:szCs w:val="24"/>
          <w:lang w:eastAsia="en-AU"/>
        </w:rPr>
        <w:t>Parliamentary Secretary for Treasury and Finance</w:t>
      </w:r>
    </w:p>
    <w:p w:rsidR="00B51444" w:rsidRPr="00462624" w:rsidRDefault="00B51444" w:rsidP="00C47EA7">
      <w:pPr>
        <w:pStyle w:val="Heading1"/>
      </w:pPr>
      <w:bookmarkStart w:id="9" w:name="_Toc518310391"/>
      <w:bookmarkStart w:id="10" w:name="_Toc518469306"/>
      <w:bookmarkStart w:id="11" w:name="_Toc518469483"/>
      <w:bookmarkStart w:id="12" w:name="_Toc518655811"/>
      <w:bookmarkStart w:id="13" w:name="_Toc518656647"/>
      <w:bookmarkStart w:id="14" w:name="_Toc518899423"/>
      <w:bookmarkStart w:id="15" w:name="_Toc518991270"/>
      <w:r w:rsidRPr="00462624">
        <w:t>Contents</w:t>
      </w:r>
      <w:bookmarkEnd w:id="9"/>
      <w:bookmarkEnd w:id="10"/>
      <w:bookmarkEnd w:id="11"/>
      <w:bookmarkEnd w:id="12"/>
      <w:bookmarkEnd w:id="13"/>
      <w:bookmarkEnd w:id="14"/>
      <w:bookmarkEnd w:id="15"/>
    </w:p>
    <w:p w:rsidR="0091569A" w:rsidRDefault="008E09F0">
      <w:pPr>
        <w:pStyle w:val="TOC1"/>
        <w:rPr>
          <w:rFonts w:asciiTheme="minorHAnsi" w:eastAsiaTheme="minorEastAsia" w:hAnsiTheme="minorHAnsi" w:cstheme="minorBidi"/>
          <w:b w:val="0"/>
          <w:sz w:val="22"/>
          <w:szCs w:val="22"/>
          <w:lang w:eastAsia="en-AU"/>
        </w:rPr>
      </w:pPr>
      <w:r w:rsidRPr="008E09F0">
        <w:rPr>
          <w:rFonts w:cs="Arial"/>
        </w:rPr>
        <w:t xml:space="preserve">Community Sports Infrastructure Loans Scheme </w:t>
      </w:r>
      <w:r w:rsidR="00F0367A" w:rsidRPr="008E09F0">
        <w:rPr>
          <w:rFonts w:cs="Arial"/>
        </w:rPr>
        <w:fldChar w:fldCharType="begin"/>
      </w:r>
      <w:r w:rsidR="00B51444" w:rsidRPr="008E09F0">
        <w:rPr>
          <w:rFonts w:cs="Arial"/>
        </w:rPr>
        <w:instrText xml:space="preserve"> TOC \o "1-3" \h \z \u </w:instrText>
      </w:r>
      <w:r w:rsidR="00F0367A" w:rsidRPr="008E09F0">
        <w:rPr>
          <w:rFonts w:cs="Arial"/>
        </w:rPr>
        <w:fldChar w:fldCharType="separate"/>
      </w:r>
      <w:hyperlink w:anchor="_Toc518991267" w:history="1"/>
    </w:p>
    <w:p w:rsidR="0091569A" w:rsidRDefault="00AA4A74">
      <w:pPr>
        <w:pStyle w:val="TOC2"/>
        <w:rPr>
          <w:rFonts w:asciiTheme="minorHAnsi" w:eastAsiaTheme="minorEastAsia" w:hAnsiTheme="minorHAnsi" w:cstheme="minorBidi"/>
          <w:sz w:val="22"/>
          <w:szCs w:val="22"/>
          <w:lang w:eastAsia="en-AU"/>
        </w:rPr>
      </w:pPr>
      <w:hyperlink w:anchor="_Toc518991268" w:history="1">
        <w:r w:rsidR="0091569A" w:rsidRPr="00314E0F">
          <w:rPr>
            <w:rStyle w:val="Hyperlink"/>
          </w:rPr>
          <w:t>Message from the Minister for Sport, John Eren</w:t>
        </w:r>
        <w:r w:rsidR="0091569A">
          <w:rPr>
            <w:webHidden/>
          </w:rPr>
          <w:tab/>
        </w:r>
        <w:r w:rsidR="0091569A">
          <w:rPr>
            <w:webHidden/>
          </w:rPr>
          <w:fldChar w:fldCharType="begin"/>
        </w:r>
        <w:r w:rsidR="0091569A">
          <w:rPr>
            <w:webHidden/>
          </w:rPr>
          <w:instrText xml:space="preserve"> PAGEREF _Toc518991268 \h </w:instrText>
        </w:r>
        <w:r w:rsidR="0091569A">
          <w:rPr>
            <w:webHidden/>
          </w:rPr>
        </w:r>
        <w:r w:rsidR="0091569A">
          <w:rPr>
            <w:webHidden/>
          </w:rPr>
          <w:fldChar w:fldCharType="separate"/>
        </w:r>
        <w:r w:rsidR="00D345C8">
          <w:rPr>
            <w:webHidden/>
          </w:rPr>
          <w:t>3</w:t>
        </w:r>
        <w:r w:rsidR="0091569A">
          <w:rPr>
            <w:webHidden/>
          </w:rPr>
          <w:fldChar w:fldCharType="end"/>
        </w:r>
      </w:hyperlink>
    </w:p>
    <w:p w:rsidR="0091569A" w:rsidRDefault="00AA4A74">
      <w:pPr>
        <w:pStyle w:val="TOC2"/>
        <w:rPr>
          <w:rFonts w:asciiTheme="minorHAnsi" w:eastAsiaTheme="minorEastAsia" w:hAnsiTheme="minorHAnsi" w:cstheme="minorBidi"/>
          <w:sz w:val="22"/>
          <w:szCs w:val="22"/>
          <w:lang w:eastAsia="en-AU"/>
        </w:rPr>
      </w:pPr>
      <w:hyperlink w:anchor="_Toc518991269" w:history="1">
        <w:r w:rsidR="0091569A" w:rsidRPr="00314E0F">
          <w:rPr>
            <w:rStyle w:val="Hyperlink"/>
          </w:rPr>
          <w:t>Message from the Parliamentary Secretary for Treasury and Finance, Daniel Mulino</w:t>
        </w:r>
        <w:r w:rsidR="0091569A">
          <w:rPr>
            <w:webHidden/>
          </w:rPr>
          <w:tab/>
        </w:r>
        <w:r w:rsidR="0091569A">
          <w:rPr>
            <w:webHidden/>
          </w:rPr>
          <w:fldChar w:fldCharType="begin"/>
        </w:r>
        <w:r w:rsidR="0091569A">
          <w:rPr>
            <w:webHidden/>
          </w:rPr>
          <w:instrText xml:space="preserve"> PAGEREF _Toc518991269 \h </w:instrText>
        </w:r>
        <w:r w:rsidR="0091569A">
          <w:rPr>
            <w:webHidden/>
          </w:rPr>
        </w:r>
        <w:r w:rsidR="0091569A">
          <w:rPr>
            <w:webHidden/>
          </w:rPr>
          <w:fldChar w:fldCharType="separate"/>
        </w:r>
        <w:r w:rsidR="00D345C8">
          <w:rPr>
            <w:webHidden/>
          </w:rPr>
          <w:t>4</w:t>
        </w:r>
        <w:r w:rsidR="0091569A">
          <w:rPr>
            <w:webHidden/>
          </w:rPr>
          <w:fldChar w:fldCharType="end"/>
        </w:r>
      </w:hyperlink>
    </w:p>
    <w:p w:rsidR="0091569A" w:rsidRDefault="00AA4A74">
      <w:pPr>
        <w:pStyle w:val="TOC1"/>
        <w:rPr>
          <w:rFonts w:asciiTheme="minorHAnsi" w:eastAsiaTheme="minorEastAsia" w:hAnsiTheme="minorHAnsi" w:cstheme="minorBidi"/>
          <w:b w:val="0"/>
          <w:sz w:val="22"/>
          <w:szCs w:val="22"/>
          <w:lang w:eastAsia="en-AU"/>
        </w:rPr>
      </w:pPr>
      <w:hyperlink w:anchor="_Toc518991272" w:history="1">
        <w:r w:rsidR="0091569A" w:rsidRPr="00314E0F">
          <w:rPr>
            <w:rStyle w:val="Hyperlink"/>
          </w:rPr>
          <w:t>1. About the loans scheme</w:t>
        </w:r>
        <w:r w:rsidR="0091569A">
          <w:rPr>
            <w:webHidden/>
          </w:rPr>
          <w:tab/>
        </w:r>
        <w:r w:rsidR="0091569A">
          <w:rPr>
            <w:webHidden/>
          </w:rPr>
          <w:fldChar w:fldCharType="begin"/>
        </w:r>
        <w:r w:rsidR="0091569A">
          <w:rPr>
            <w:webHidden/>
          </w:rPr>
          <w:instrText xml:space="preserve"> PAGEREF _Toc518991272 \h </w:instrText>
        </w:r>
        <w:r w:rsidR="0091569A">
          <w:rPr>
            <w:webHidden/>
          </w:rPr>
        </w:r>
        <w:r w:rsidR="0091569A">
          <w:rPr>
            <w:webHidden/>
          </w:rPr>
          <w:fldChar w:fldCharType="separate"/>
        </w:r>
        <w:r w:rsidR="00D345C8">
          <w:rPr>
            <w:webHidden/>
          </w:rPr>
          <w:t>6</w:t>
        </w:r>
        <w:r w:rsidR="0091569A">
          <w:rPr>
            <w:webHidden/>
          </w:rPr>
          <w:fldChar w:fldCharType="end"/>
        </w:r>
      </w:hyperlink>
    </w:p>
    <w:p w:rsidR="0091569A" w:rsidRDefault="00AA4A74">
      <w:pPr>
        <w:pStyle w:val="TOC2"/>
        <w:rPr>
          <w:rFonts w:asciiTheme="minorHAnsi" w:eastAsiaTheme="minorEastAsia" w:hAnsiTheme="minorHAnsi" w:cstheme="minorBidi"/>
          <w:sz w:val="22"/>
          <w:szCs w:val="22"/>
          <w:lang w:eastAsia="en-AU"/>
        </w:rPr>
      </w:pPr>
      <w:hyperlink w:anchor="_Toc518991273" w:history="1">
        <w:r w:rsidR="0091569A" w:rsidRPr="00314E0F">
          <w:rPr>
            <w:rStyle w:val="Hyperlink"/>
          </w:rPr>
          <w:t>1.1  What are the objectives of the loans scheme?</w:t>
        </w:r>
        <w:r w:rsidR="0091569A">
          <w:rPr>
            <w:webHidden/>
          </w:rPr>
          <w:tab/>
        </w:r>
        <w:r w:rsidR="0091569A">
          <w:rPr>
            <w:webHidden/>
          </w:rPr>
          <w:fldChar w:fldCharType="begin"/>
        </w:r>
        <w:r w:rsidR="0091569A">
          <w:rPr>
            <w:webHidden/>
          </w:rPr>
          <w:instrText xml:space="preserve"> PAGEREF _Toc518991273 \h </w:instrText>
        </w:r>
        <w:r w:rsidR="0091569A">
          <w:rPr>
            <w:webHidden/>
          </w:rPr>
        </w:r>
        <w:r w:rsidR="0091569A">
          <w:rPr>
            <w:webHidden/>
          </w:rPr>
          <w:fldChar w:fldCharType="separate"/>
        </w:r>
        <w:r w:rsidR="00D345C8">
          <w:rPr>
            <w:webHidden/>
          </w:rPr>
          <w:t>6</w:t>
        </w:r>
        <w:r w:rsidR="0091569A">
          <w:rPr>
            <w:webHidden/>
          </w:rPr>
          <w:fldChar w:fldCharType="end"/>
        </w:r>
      </w:hyperlink>
    </w:p>
    <w:p w:rsidR="0091569A" w:rsidRDefault="00AA4A74">
      <w:pPr>
        <w:pStyle w:val="TOC2"/>
        <w:rPr>
          <w:rFonts w:asciiTheme="minorHAnsi" w:eastAsiaTheme="minorEastAsia" w:hAnsiTheme="minorHAnsi" w:cstheme="minorBidi"/>
          <w:sz w:val="22"/>
          <w:szCs w:val="22"/>
          <w:lang w:eastAsia="en-AU"/>
        </w:rPr>
      </w:pPr>
      <w:hyperlink w:anchor="_Toc518991274" w:history="1">
        <w:r w:rsidR="0091569A" w:rsidRPr="00314E0F">
          <w:rPr>
            <w:rStyle w:val="Hyperlink"/>
          </w:rPr>
          <w:t>1.2  How much can be applied for?</w:t>
        </w:r>
        <w:r w:rsidR="0091569A">
          <w:rPr>
            <w:webHidden/>
          </w:rPr>
          <w:tab/>
        </w:r>
        <w:r w:rsidR="0091569A">
          <w:rPr>
            <w:webHidden/>
          </w:rPr>
          <w:fldChar w:fldCharType="begin"/>
        </w:r>
        <w:r w:rsidR="0091569A">
          <w:rPr>
            <w:webHidden/>
          </w:rPr>
          <w:instrText xml:space="preserve"> PAGEREF _Toc518991274 \h </w:instrText>
        </w:r>
        <w:r w:rsidR="0091569A">
          <w:rPr>
            <w:webHidden/>
          </w:rPr>
        </w:r>
        <w:r w:rsidR="0091569A">
          <w:rPr>
            <w:webHidden/>
          </w:rPr>
          <w:fldChar w:fldCharType="separate"/>
        </w:r>
        <w:r w:rsidR="00D345C8">
          <w:rPr>
            <w:webHidden/>
          </w:rPr>
          <w:t>6</w:t>
        </w:r>
        <w:r w:rsidR="0091569A">
          <w:rPr>
            <w:webHidden/>
          </w:rPr>
          <w:fldChar w:fldCharType="end"/>
        </w:r>
      </w:hyperlink>
    </w:p>
    <w:p w:rsidR="0091569A" w:rsidRDefault="00AA4A74">
      <w:pPr>
        <w:pStyle w:val="TOC2"/>
        <w:rPr>
          <w:rFonts w:asciiTheme="minorHAnsi" w:eastAsiaTheme="minorEastAsia" w:hAnsiTheme="minorHAnsi" w:cstheme="minorBidi"/>
          <w:sz w:val="22"/>
          <w:szCs w:val="22"/>
          <w:lang w:eastAsia="en-AU"/>
        </w:rPr>
      </w:pPr>
      <w:hyperlink w:anchor="_Toc518991275" w:history="1">
        <w:r w:rsidR="0091569A" w:rsidRPr="00314E0F">
          <w:rPr>
            <w:rStyle w:val="Hyperlink"/>
          </w:rPr>
          <w:t>1.3  How does the scheme work?</w:t>
        </w:r>
        <w:r w:rsidR="0091569A">
          <w:rPr>
            <w:webHidden/>
          </w:rPr>
          <w:tab/>
        </w:r>
        <w:r w:rsidR="0091569A">
          <w:rPr>
            <w:webHidden/>
          </w:rPr>
          <w:fldChar w:fldCharType="begin"/>
        </w:r>
        <w:r w:rsidR="0091569A">
          <w:rPr>
            <w:webHidden/>
          </w:rPr>
          <w:instrText xml:space="preserve"> PAGEREF _Toc518991275 \h </w:instrText>
        </w:r>
        <w:r w:rsidR="0091569A">
          <w:rPr>
            <w:webHidden/>
          </w:rPr>
        </w:r>
        <w:r w:rsidR="0091569A">
          <w:rPr>
            <w:webHidden/>
          </w:rPr>
          <w:fldChar w:fldCharType="separate"/>
        </w:r>
        <w:r w:rsidR="00D345C8">
          <w:rPr>
            <w:webHidden/>
          </w:rPr>
          <w:t>6</w:t>
        </w:r>
        <w:r w:rsidR="0091569A">
          <w:rPr>
            <w:webHidden/>
          </w:rPr>
          <w:fldChar w:fldCharType="end"/>
        </w:r>
      </w:hyperlink>
    </w:p>
    <w:p w:rsidR="0091569A" w:rsidRDefault="00AA4A74">
      <w:pPr>
        <w:pStyle w:val="TOC1"/>
        <w:rPr>
          <w:rFonts w:asciiTheme="minorHAnsi" w:eastAsiaTheme="minorEastAsia" w:hAnsiTheme="minorHAnsi" w:cstheme="minorBidi"/>
          <w:b w:val="0"/>
          <w:sz w:val="22"/>
          <w:szCs w:val="22"/>
          <w:lang w:eastAsia="en-AU"/>
        </w:rPr>
      </w:pPr>
      <w:hyperlink w:anchor="_Toc518991276" w:history="1">
        <w:r w:rsidR="0091569A" w:rsidRPr="00314E0F">
          <w:rPr>
            <w:rStyle w:val="Hyperlink"/>
          </w:rPr>
          <w:t>2. Eligibility</w:t>
        </w:r>
        <w:r w:rsidR="0091569A">
          <w:rPr>
            <w:webHidden/>
          </w:rPr>
          <w:tab/>
        </w:r>
        <w:r w:rsidR="0091569A">
          <w:rPr>
            <w:webHidden/>
          </w:rPr>
          <w:fldChar w:fldCharType="begin"/>
        </w:r>
        <w:r w:rsidR="0091569A">
          <w:rPr>
            <w:webHidden/>
          </w:rPr>
          <w:instrText xml:space="preserve"> PAGEREF _Toc518991276 \h </w:instrText>
        </w:r>
        <w:r w:rsidR="0091569A">
          <w:rPr>
            <w:webHidden/>
          </w:rPr>
        </w:r>
        <w:r w:rsidR="0091569A">
          <w:rPr>
            <w:webHidden/>
          </w:rPr>
          <w:fldChar w:fldCharType="separate"/>
        </w:r>
        <w:r w:rsidR="00D345C8">
          <w:rPr>
            <w:webHidden/>
          </w:rPr>
          <w:t>7</w:t>
        </w:r>
        <w:r w:rsidR="0091569A">
          <w:rPr>
            <w:webHidden/>
          </w:rPr>
          <w:fldChar w:fldCharType="end"/>
        </w:r>
      </w:hyperlink>
    </w:p>
    <w:p w:rsidR="0091569A" w:rsidRDefault="00AA4A74">
      <w:pPr>
        <w:pStyle w:val="TOC2"/>
        <w:rPr>
          <w:rFonts w:asciiTheme="minorHAnsi" w:eastAsiaTheme="minorEastAsia" w:hAnsiTheme="minorHAnsi" w:cstheme="minorBidi"/>
          <w:sz w:val="22"/>
          <w:szCs w:val="22"/>
          <w:lang w:eastAsia="en-AU"/>
        </w:rPr>
      </w:pPr>
      <w:hyperlink w:anchor="_Toc518991277" w:history="1">
        <w:r w:rsidR="0091569A" w:rsidRPr="00314E0F">
          <w:rPr>
            <w:rStyle w:val="Hyperlink"/>
          </w:rPr>
          <w:t>2.1  Who can apply?</w:t>
        </w:r>
        <w:r w:rsidR="0091569A">
          <w:rPr>
            <w:webHidden/>
          </w:rPr>
          <w:tab/>
        </w:r>
        <w:r w:rsidR="0091569A">
          <w:rPr>
            <w:webHidden/>
          </w:rPr>
          <w:fldChar w:fldCharType="begin"/>
        </w:r>
        <w:r w:rsidR="0091569A">
          <w:rPr>
            <w:webHidden/>
          </w:rPr>
          <w:instrText xml:space="preserve"> PAGEREF _Toc518991277 \h </w:instrText>
        </w:r>
        <w:r w:rsidR="0091569A">
          <w:rPr>
            <w:webHidden/>
          </w:rPr>
        </w:r>
        <w:r w:rsidR="0091569A">
          <w:rPr>
            <w:webHidden/>
          </w:rPr>
          <w:fldChar w:fldCharType="separate"/>
        </w:r>
        <w:r w:rsidR="00D345C8">
          <w:rPr>
            <w:webHidden/>
          </w:rPr>
          <w:t>7</w:t>
        </w:r>
        <w:r w:rsidR="0091569A">
          <w:rPr>
            <w:webHidden/>
          </w:rPr>
          <w:fldChar w:fldCharType="end"/>
        </w:r>
      </w:hyperlink>
    </w:p>
    <w:p w:rsidR="0091569A" w:rsidRDefault="00AA4A74">
      <w:pPr>
        <w:pStyle w:val="TOC2"/>
        <w:tabs>
          <w:tab w:val="left" w:pos="567"/>
        </w:tabs>
        <w:rPr>
          <w:rFonts w:asciiTheme="minorHAnsi" w:eastAsiaTheme="minorEastAsia" w:hAnsiTheme="minorHAnsi" w:cstheme="minorBidi"/>
          <w:sz w:val="22"/>
          <w:szCs w:val="22"/>
          <w:lang w:eastAsia="en-AU"/>
        </w:rPr>
      </w:pPr>
      <w:hyperlink w:anchor="_Toc518991278" w:history="1">
        <w:r w:rsidR="0091569A" w:rsidRPr="00314E0F">
          <w:rPr>
            <w:rStyle w:val="Hyperlink"/>
          </w:rPr>
          <w:t>2.2</w:t>
        </w:r>
        <w:r w:rsidR="0091569A">
          <w:rPr>
            <w:rFonts w:asciiTheme="minorHAnsi" w:eastAsiaTheme="minorEastAsia" w:hAnsiTheme="minorHAnsi" w:cstheme="minorBidi"/>
            <w:sz w:val="22"/>
            <w:szCs w:val="22"/>
            <w:lang w:eastAsia="en-AU"/>
          </w:rPr>
          <w:t xml:space="preserve">  </w:t>
        </w:r>
        <w:r w:rsidR="0091569A" w:rsidRPr="00314E0F">
          <w:rPr>
            <w:rStyle w:val="Hyperlink"/>
          </w:rPr>
          <w:t>Who is ineligible?</w:t>
        </w:r>
        <w:r w:rsidR="0091569A">
          <w:rPr>
            <w:webHidden/>
          </w:rPr>
          <w:tab/>
        </w:r>
        <w:r w:rsidR="0091569A">
          <w:rPr>
            <w:webHidden/>
          </w:rPr>
          <w:fldChar w:fldCharType="begin"/>
        </w:r>
        <w:r w:rsidR="0091569A">
          <w:rPr>
            <w:webHidden/>
          </w:rPr>
          <w:instrText xml:space="preserve"> PAGEREF _Toc518991278 \h </w:instrText>
        </w:r>
        <w:r w:rsidR="0091569A">
          <w:rPr>
            <w:webHidden/>
          </w:rPr>
        </w:r>
        <w:r w:rsidR="0091569A">
          <w:rPr>
            <w:webHidden/>
          </w:rPr>
          <w:fldChar w:fldCharType="separate"/>
        </w:r>
        <w:r w:rsidR="00D345C8">
          <w:rPr>
            <w:webHidden/>
          </w:rPr>
          <w:t>7</w:t>
        </w:r>
        <w:r w:rsidR="0091569A">
          <w:rPr>
            <w:webHidden/>
          </w:rPr>
          <w:fldChar w:fldCharType="end"/>
        </w:r>
      </w:hyperlink>
    </w:p>
    <w:p w:rsidR="0091569A" w:rsidRDefault="00AA4A74">
      <w:pPr>
        <w:pStyle w:val="TOC2"/>
        <w:rPr>
          <w:rFonts w:asciiTheme="minorHAnsi" w:eastAsiaTheme="minorEastAsia" w:hAnsiTheme="minorHAnsi" w:cstheme="minorBidi"/>
          <w:sz w:val="22"/>
          <w:szCs w:val="22"/>
          <w:lang w:eastAsia="en-AU"/>
        </w:rPr>
      </w:pPr>
      <w:hyperlink w:anchor="_Toc518991279" w:history="1">
        <w:r w:rsidR="0091569A" w:rsidRPr="00314E0F">
          <w:rPr>
            <w:rStyle w:val="Hyperlink"/>
          </w:rPr>
          <w:t>2.3  What types of projects may be supported?</w:t>
        </w:r>
        <w:r w:rsidR="0091569A">
          <w:rPr>
            <w:webHidden/>
          </w:rPr>
          <w:tab/>
        </w:r>
        <w:r w:rsidR="0091569A">
          <w:rPr>
            <w:webHidden/>
          </w:rPr>
          <w:fldChar w:fldCharType="begin"/>
        </w:r>
        <w:r w:rsidR="0091569A">
          <w:rPr>
            <w:webHidden/>
          </w:rPr>
          <w:instrText xml:space="preserve"> PAGEREF _Toc518991279 \h </w:instrText>
        </w:r>
        <w:r w:rsidR="0091569A">
          <w:rPr>
            <w:webHidden/>
          </w:rPr>
        </w:r>
        <w:r w:rsidR="0091569A">
          <w:rPr>
            <w:webHidden/>
          </w:rPr>
          <w:fldChar w:fldCharType="separate"/>
        </w:r>
        <w:r w:rsidR="00D345C8">
          <w:rPr>
            <w:webHidden/>
          </w:rPr>
          <w:t>7</w:t>
        </w:r>
        <w:r w:rsidR="0091569A">
          <w:rPr>
            <w:webHidden/>
          </w:rPr>
          <w:fldChar w:fldCharType="end"/>
        </w:r>
      </w:hyperlink>
    </w:p>
    <w:p w:rsidR="0091569A" w:rsidRDefault="00AA4A74">
      <w:pPr>
        <w:pStyle w:val="TOC2"/>
        <w:rPr>
          <w:rFonts w:asciiTheme="minorHAnsi" w:eastAsiaTheme="minorEastAsia" w:hAnsiTheme="minorHAnsi" w:cstheme="minorBidi"/>
          <w:sz w:val="22"/>
          <w:szCs w:val="22"/>
          <w:lang w:eastAsia="en-AU"/>
        </w:rPr>
      </w:pPr>
      <w:hyperlink w:anchor="_Toc518991280" w:history="1">
        <w:r w:rsidR="0091569A" w:rsidRPr="00314E0F">
          <w:rPr>
            <w:rStyle w:val="Hyperlink"/>
          </w:rPr>
          <w:t>2.4  What types of projects will not be supported?</w:t>
        </w:r>
        <w:r w:rsidR="0091569A">
          <w:rPr>
            <w:webHidden/>
          </w:rPr>
          <w:tab/>
        </w:r>
        <w:r w:rsidR="0091569A">
          <w:rPr>
            <w:webHidden/>
          </w:rPr>
          <w:fldChar w:fldCharType="begin"/>
        </w:r>
        <w:r w:rsidR="0091569A">
          <w:rPr>
            <w:webHidden/>
          </w:rPr>
          <w:instrText xml:space="preserve"> PAGEREF _Toc518991280 \h </w:instrText>
        </w:r>
        <w:r w:rsidR="0091569A">
          <w:rPr>
            <w:webHidden/>
          </w:rPr>
        </w:r>
        <w:r w:rsidR="0091569A">
          <w:rPr>
            <w:webHidden/>
          </w:rPr>
          <w:fldChar w:fldCharType="separate"/>
        </w:r>
        <w:r w:rsidR="00D345C8">
          <w:rPr>
            <w:webHidden/>
          </w:rPr>
          <w:t>8</w:t>
        </w:r>
        <w:r w:rsidR="0091569A">
          <w:rPr>
            <w:webHidden/>
          </w:rPr>
          <w:fldChar w:fldCharType="end"/>
        </w:r>
      </w:hyperlink>
    </w:p>
    <w:p w:rsidR="0091569A" w:rsidRDefault="00AA4A74">
      <w:pPr>
        <w:pStyle w:val="TOC1"/>
        <w:rPr>
          <w:rFonts w:asciiTheme="minorHAnsi" w:eastAsiaTheme="minorEastAsia" w:hAnsiTheme="minorHAnsi" w:cstheme="minorBidi"/>
          <w:b w:val="0"/>
          <w:sz w:val="22"/>
          <w:szCs w:val="22"/>
          <w:lang w:eastAsia="en-AU"/>
        </w:rPr>
      </w:pPr>
      <w:hyperlink w:anchor="_Toc518991281" w:history="1">
        <w:r w:rsidR="0091569A" w:rsidRPr="00314E0F">
          <w:rPr>
            <w:rStyle w:val="Hyperlink"/>
          </w:rPr>
          <w:t>3. Loan Application</w:t>
        </w:r>
        <w:r w:rsidR="0091569A">
          <w:rPr>
            <w:webHidden/>
          </w:rPr>
          <w:tab/>
        </w:r>
        <w:r w:rsidR="0091569A">
          <w:rPr>
            <w:webHidden/>
          </w:rPr>
          <w:fldChar w:fldCharType="begin"/>
        </w:r>
        <w:r w:rsidR="0091569A">
          <w:rPr>
            <w:webHidden/>
          </w:rPr>
          <w:instrText xml:space="preserve"> PAGEREF _Toc518991281 \h </w:instrText>
        </w:r>
        <w:r w:rsidR="0091569A">
          <w:rPr>
            <w:webHidden/>
          </w:rPr>
        </w:r>
        <w:r w:rsidR="0091569A">
          <w:rPr>
            <w:webHidden/>
          </w:rPr>
          <w:fldChar w:fldCharType="separate"/>
        </w:r>
        <w:r w:rsidR="00D345C8">
          <w:rPr>
            <w:webHidden/>
          </w:rPr>
          <w:t>8</w:t>
        </w:r>
        <w:r w:rsidR="0091569A">
          <w:rPr>
            <w:webHidden/>
          </w:rPr>
          <w:fldChar w:fldCharType="end"/>
        </w:r>
      </w:hyperlink>
    </w:p>
    <w:p w:rsidR="0091569A" w:rsidRDefault="00AA4A74">
      <w:pPr>
        <w:pStyle w:val="TOC2"/>
        <w:rPr>
          <w:rFonts w:asciiTheme="minorHAnsi" w:eastAsiaTheme="minorEastAsia" w:hAnsiTheme="minorHAnsi" w:cstheme="minorBidi"/>
          <w:sz w:val="22"/>
          <w:szCs w:val="22"/>
          <w:lang w:eastAsia="en-AU"/>
        </w:rPr>
      </w:pPr>
      <w:hyperlink w:anchor="_Toc518991282" w:history="1">
        <w:r w:rsidR="0091569A" w:rsidRPr="00314E0F">
          <w:rPr>
            <w:rStyle w:val="Hyperlink"/>
          </w:rPr>
          <w:t>3.1  What information is required in an application?</w:t>
        </w:r>
        <w:r w:rsidR="0091569A">
          <w:rPr>
            <w:webHidden/>
          </w:rPr>
          <w:tab/>
        </w:r>
        <w:r w:rsidR="0091569A">
          <w:rPr>
            <w:webHidden/>
          </w:rPr>
          <w:fldChar w:fldCharType="begin"/>
        </w:r>
        <w:r w:rsidR="0091569A">
          <w:rPr>
            <w:webHidden/>
          </w:rPr>
          <w:instrText xml:space="preserve"> PAGEREF _Toc518991282 \h </w:instrText>
        </w:r>
        <w:r w:rsidR="0091569A">
          <w:rPr>
            <w:webHidden/>
          </w:rPr>
        </w:r>
        <w:r w:rsidR="0091569A">
          <w:rPr>
            <w:webHidden/>
          </w:rPr>
          <w:fldChar w:fldCharType="separate"/>
        </w:r>
        <w:r w:rsidR="00D345C8">
          <w:rPr>
            <w:webHidden/>
          </w:rPr>
          <w:t>8</w:t>
        </w:r>
        <w:r w:rsidR="0091569A">
          <w:rPr>
            <w:webHidden/>
          </w:rPr>
          <w:fldChar w:fldCharType="end"/>
        </w:r>
      </w:hyperlink>
    </w:p>
    <w:p w:rsidR="0091569A" w:rsidRDefault="00AA4A74">
      <w:pPr>
        <w:pStyle w:val="TOC2"/>
        <w:rPr>
          <w:rFonts w:asciiTheme="minorHAnsi" w:eastAsiaTheme="minorEastAsia" w:hAnsiTheme="minorHAnsi" w:cstheme="minorBidi"/>
          <w:sz w:val="22"/>
          <w:szCs w:val="22"/>
          <w:lang w:eastAsia="en-AU"/>
        </w:rPr>
      </w:pPr>
      <w:hyperlink w:anchor="_Toc518991283" w:history="1">
        <w:r w:rsidR="0091569A" w:rsidRPr="00314E0F">
          <w:rPr>
            <w:rStyle w:val="Hyperlink"/>
          </w:rPr>
          <w:t>3.3  How do I submit my application?</w:t>
        </w:r>
        <w:r w:rsidR="0091569A">
          <w:rPr>
            <w:webHidden/>
          </w:rPr>
          <w:tab/>
        </w:r>
        <w:r w:rsidR="0091569A">
          <w:rPr>
            <w:webHidden/>
          </w:rPr>
          <w:fldChar w:fldCharType="begin"/>
        </w:r>
        <w:r w:rsidR="0091569A">
          <w:rPr>
            <w:webHidden/>
          </w:rPr>
          <w:instrText xml:space="preserve"> PAGEREF _Toc518991283 \h </w:instrText>
        </w:r>
        <w:r w:rsidR="0091569A">
          <w:rPr>
            <w:webHidden/>
          </w:rPr>
        </w:r>
        <w:r w:rsidR="0091569A">
          <w:rPr>
            <w:webHidden/>
          </w:rPr>
          <w:fldChar w:fldCharType="separate"/>
        </w:r>
        <w:r w:rsidR="00D345C8">
          <w:rPr>
            <w:webHidden/>
          </w:rPr>
          <w:t>9</w:t>
        </w:r>
        <w:r w:rsidR="0091569A">
          <w:rPr>
            <w:webHidden/>
          </w:rPr>
          <w:fldChar w:fldCharType="end"/>
        </w:r>
      </w:hyperlink>
    </w:p>
    <w:p w:rsidR="0091569A" w:rsidRDefault="00AA4A74">
      <w:pPr>
        <w:pStyle w:val="TOC2"/>
        <w:rPr>
          <w:rFonts w:asciiTheme="minorHAnsi" w:eastAsiaTheme="minorEastAsia" w:hAnsiTheme="minorHAnsi" w:cstheme="minorBidi"/>
          <w:sz w:val="22"/>
          <w:szCs w:val="22"/>
          <w:lang w:eastAsia="en-AU"/>
        </w:rPr>
      </w:pPr>
      <w:hyperlink w:anchor="_Toc518991284" w:history="1">
        <w:r w:rsidR="0091569A" w:rsidRPr="00314E0F">
          <w:rPr>
            <w:rStyle w:val="Hyperlink"/>
          </w:rPr>
          <w:t>3.4  How are applications assessed?</w:t>
        </w:r>
        <w:r w:rsidR="0091569A">
          <w:rPr>
            <w:webHidden/>
          </w:rPr>
          <w:tab/>
        </w:r>
        <w:r w:rsidR="0091569A">
          <w:rPr>
            <w:webHidden/>
          </w:rPr>
          <w:fldChar w:fldCharType="begin"/>
        </w:r>
        <w:r w:rsidR="0091569A">
          <w:rPr>
            <w:webHidden/>
          </w:rPr>
          <w:instrText xml:space="preserve"> PAGEREF _Toc518991284 \h </w:instrText>
        </w:r>
        <w:r w:rsidR="0091569A">
          <w:rPr>
            <w:webHidden/>
          </w:rPr>
        </w:r>
        <w:r w:rsidR="0091569A">
          <w:rPr>
            <w:webHidden/>
          </w:rPr>
          <w:fldChar w:fldCharType="separate"/>
        </w:r>
        <w:r w:rsidR="00D345C8">
          <w:rPr>
            <w:webHidden/>
          </w:rPr>
          <w:t>9</w:t>
        </w:r>
        <w:r w:rsidR="0091569A">
          <w:rPr>
            <w:webHidden/>
          </w:rPr>
          <w:fldChar w:fldCharType="end"/>
        </w:r>
      </w:hyperlink>
    </w:p>
    <w:p w:rsidR="0091569A" w:rsidRDefault="00AA4A74">
      <w:pPr>
        <w:pStyle w:val="TOC1"/>
        <w:rPr>
          <w:rFonts w:asciiTheme="minorHAnsi" w:eastAsiaTheme="minorEastAsia" w:hAnsiTheme="minorHAnsi" w:cstheme="minorBidi"/>
          <w:b w:val="0"/>
          <w:sz w:val="22"/>
          <w:szCs w:val="22"/>
          <w:lang w:eastAsia="en-AU"/>
        </w:rPr>
      </w:pPr>
      <w:hyperlink w:anchor="_Toc518991285" w:history="1">
        <w:r w:rsidR="0091569A" w:rsidRPr="00314E0F">
          <w:rPr>
            <w:rStyle w:val="Hyperlink"/>
          </w:rPr>
          <w:t>4. Timelines</w:t>
        </w:r>
        <w:r w:rsidR="0091569A">
          <w:rPr>
            <w:webHidden/>
          </w:rPr>
          <w:tab/>
        </w:r>
        <w:r w:rsidR="0091569A">
          <w:rPr>
            <w:webHidden/>
          </w:rPr>
          <w:fldChar w:fldCharType="begin"/>
        </w:r>
        <w:r w:rsidR="0091569A">
          <w:rPr>
            <w:webHidden/>
          </w:rPr>
          <w:instrText xml:space="preserve"> PAGEREF _Toc518991285 \h </w:instrText>
        </w:r>
        <w:r w:rsidR="0091569A">
          <w:rPr>
            <w:webHidden/>
          </w:rPr>
        </w:r>
        <w:r w:rsidR="0091569A">
          <w:rPr>
            <w:webHidden/>
          </w:rPr>
          <w:fldChar w:fldCharType="separate"/>
        </w:r>
        <w:r w:rsidR="00D345C8">
          <w:rPr>
            <w:webHidden/>
          </w:rPr>
          <w:t>10</w:t>
        </w:r>
        <w:r w:rsidR="0091569A">
          <w:rPr>
            <w:webHidden/>
          </w:rPr>
          <w:fldChar w:fldCharType="end"/>
        </w:r>
      </w:hyperlink>
    </w:p>
    <w:p w:rsidR="0091569A" w:rsidRDefault="00AA4A74">
      <w:pPr>
        <w:pStyle w:val="TOC1"/>
        <w:rPr>
          <w:rFonts w:asciiTheme="minorHAnsi" w:eastAsiaTheme="minorEastAsia" w:hAnsiTheme="minorHAnsi" w:cstheme="minorBidi"/>
          <w:b w:val="0"/>
          <w:sz w:val="22"/>
          <w:szCs w:val="22"/>
          <w:lang w:eastAsia="en-AU"/>
        </w:rPr>
      </w:pPr>
      <w:hyperlink w:anchor="_Toc518991286" w:history="1">
        <w:r w:rsidR="0091569A" w:rsidRPr="00314E0F">
          <w:rPr>
            <w:rStyle w:val="Hyperlink"/>
          </w:rPr>
          <w:t>5. Conditions that apply to loan applications</w:t>
        </w:r>
        <w:r w:rsidR="0091569A">
          <w:rPr>
            <w:webHidden/>
          </w:rPr>
          <w:tab/>
        </w:r>
        <w:r w:rsidR="0091569A">
          <w:rPr>
            <w:webHidden/>
          </w:rPr>
          <w:fldChar w:fldCharType="begin"/>
        </w:r>
        <w:r w:rsidR="0091569A">
          <w:rPr>
            <w:webHidden/>
          </w:rPr>
          <w:instrText xml:space="preserve"> PAGEREF _Toc518991286 \h </w:instrText>
        </w:r>
        <w:r w:rsidR="0091569A">
          <w:rPr>
            <w:webHidden/>
          </w:rPr>
        </w:r>
        <w:r w:rsidR="0091569A">
          <w:rPr>
            <w:webHidden/>
          </w:rPr>
          <w:fldChar w:fldCharType="separate"/>
        </w:r>
        <w:r w:rsidR="00D345C8">
          <w:rPr>
            <w:webHidden/>
          </w:rPr>
          <w:t>10</w:t>
        </w:r>
        <w:r w:rsidR="0091569A">
          <w:rPr>
            <w:webHidden/>
          </w:rPr>
          <w:fldChar w:fldCharType="end"/>
        </w:r>
      </w:hyperlink>
    </w:p>
    <w:p w:rsidR="0091569A" w:rsidRDefault="00AA4A74">
      <w:pPr>
        <w:pStyle w:val="TOC2"/>
        <w:rPr>
          <w:rFonts w:asciiTheme="minorHAnsi" w:eastAsiaTheme="minorEastAsia" w:hAnsiTheme="minorHAnsi" w:cstheme="minorBidi"/>
          <w:sz w:val="22"/>
          <w:szCs w:val="22"/>
          <w:lang w:eastAsia="en-AU"/>
        </w:rPr>
      </w:pPr>
      <w:hyperlink w:anchor="_Toc518991287" w:history="1">
        <w:r w:rsidR="0091569A" w:rsidRPr="00314E0F">
          <w:rPr>
            <w:rStyle w:val="Hyperlink"/>
          </w:rPr>
          <w:t>5.1  Loan Terms</w:t>
        </w:r>
        <w:r w:rsidR="0091569A">
          <w:rPr>
            <w:webHidden/>
          </w:rPr>
          <w:tab/>
        </w:r>
        <w:r w:rsidR="0091569A">
          <w:rPr>
            <w:webHidden/>
          </w:rPr>
          <w:fldChar w:fldCharType="begin"/>
        </w:r>
        <w:r w:rsidR="0091569A">
          <w:rPr>
            <w:webHidden/>
          </w:rPr>
          <w:instrText xml:space="preserve"> PAGEREF _Toc518991287 \h </w:instrText>
        </w:r>
        <w:r w:rsidR="0091569A">
          <w:rPr>
            <w:webHidden/>
          </w:rPr>
        </w:r>
        <w:r w:rsidR="0091569A">
          <w:rPr>
            <w:webHidden/>
          </w:rPr>
          <w:fldChar w:fldCharType="separate"/>
        </w:r>
        <w:r w:rsidR="00D345C8">
          <w:rPr>
            <w:webHidden/>
          </w:rPr>
          <w:t>10</w:t>
        </w:r>
        <w:r w:rsidR="0091569A">
          <w:rPr>
            <w:webHidden/>
          </w:rPr>
          <w:fldChar w:fldCharType="end"/>
        </w:r>
      </w:hyperlink>
    </w:p>
    <w:p w:rsidR="0091569A" w:rsidRDefault="00AA4A74">
      <w:pPr>
        <w:pStyle w:val="TOC2"/>
        <w:rPr>
          <w:rFonts w:asciiTheme="minorHAnsi" w:eastAsiaTheme="minorEastAsia" w:hAnsiTheme="minorHAnsi" w:cstheme="minorBidi"/>
          <w:sz w:val="22"/>
          <w:szCs w:val="22"/>
          <w:lang w:eastAsia="en-AU"/>
        </w:rPr>
      </w:pPr>
      <w:hyperlink w:anchor="_Toc518991288" w:history="1">
        <w:r w:rsidR="0091569A" w:rsidRPr="00314E0F">
          <w:rPr>
            <w:rStyle w:val="Hyperlink"/>
          </w:rPr>
          <w:t>5.2  Acknowledging the Victorian Government’s support and promoting success</w:t>
        </w:r>
        <w:r w:rsidR="0091569A">
          <w:rPr>
            <w:webHidden/>
          </w:rPr>
          <w:tab/>
        </w:r>
        <w:r w:rsidR="0091569A">
          <w:rPr>
            <w:webHidden/>
          </w:rPr>
          <w:fldChar w:fldCharType="begin"/>
        </w:r>
        <w:r w:rsidR="0091569A">
          <w:rPr>
            <w:webHidden/>
          </w:rPr>
          <w:instrText xml:space="preserve"> PAGEREF _Toc518991288 \h </w:instrText>
        </w:r>
        <w:r w:rsidR="0091569A">
          <w:rPr>
            <w:webHidden/>
          </w:rPr>
        </w:r>
        <w:r w:rsidR="0091569A">
          <w:rPr>
            <w:webHidden/>
          </w:rPr>
          <w:fldChar w:fldCharType="separate"/>
        </w:r>
        <w:r w:rsidR="00D345C8">
          <w:rPr>
            <w:webHidden/>
          </w:rPr>
          <w:t>11</w:t>
        </w:r>
        <w:r w:rsidR="0091569A">
          <w:rPr>
            <w:webHidden/>
          </w:rPr>
          <w:fldChar w:fldCharType="end"/>
        </w:r>
      </w:hyperlink>
    </w:p>
    <w:p w:rsidR="00B51444" w:rsidRPr="00545615" w:rsidRDefault="00F0367A" w:rsidP="00B51444">
      <w:pPr>
        <w:rPr>
          <w:rFonts w:ascii="Arial" w:hAnsi="Arial" w:cs="Arial"/>
          <w:sz w:val="24"/>
          <w:szCs w:val="24"/>
        </w:rPr>
      </w:pPr>
      <w:r w:rsidRPr="008E09F0">
        <w:rPr>
          <w:rFonts w:ascii="Arial" w:hAnsi="Arial" w:cs="Arial"/>
          <w:b/>
          <w:bCs/>
          <w:noProof/>
        </w:rPr>
        <w:fldChar w:fldCharType="end"/>
      </w:r>
    </w:p>
    <w:p w:rsidR="00FD6FFD" w:rsidRPr="00FD6FFD" w:rsidRDefault="00FD6FFD" w:rsidP="00FD6FFD">
      <w:pPr>
        <w:tabs>
          <w:tab w:val="left" w:pos="8325"/>
        </w:tabs>
        <w:rPr>
          <w:lang w:eastAsia="en-AU"/>
        </w:rPr>
      </w:pPr>
      <w:r>
        <w:rPr>
          <w:lang w:eastAsia="en-AU"/>
        </w:rPr>
        <w:tab/>
      </w:r>
    </w:p>
    <w:p w:rsidR="00FD6FFD" w:rsidRPr="00FD6FFD" w:rsidRDefault="00FD6FFD" w:rsidP="00FD6FFD">
      <w:pPr>
        <w:rPr>
          <w:lang w:eastAsia="en-AU"/>
        </w:rPr>
      </w:pPr>
    </w:p>
    <w:p w:rsidR="00B51444" w:rsidRPr="00C47EA7" w:rsidRDefault="00B51444" w:rsidP="00C47EA7">
      <w:pPr>
        <w:pStyle w:val="Heading1"/>
        <w:rPr>
          <w:b/>
        </w:rPr>
      </w:pPr>
      <w:r w:rsidRPr="00FD6FFD">
        <w:rPr>
          <w:lang w:eastAsia="en-AU"/>
        </w:rPr>
        <w:br w:type="page"/>
      </w:r>
      <w:r w:rsidR="00CC15CE">
        <w:rPr>
          <w:b/>
        </w:rPr>
        <w:lastRenderedPageBreak/>
        <w:t xml:space="preserve"> </w:t>
      </w:r>
      <w:bookmarkStart w:id="16" w:name="_Toc518310392"/>
      <w:bookmarkStart w:id="17" w:name="_Toc518469307"/>
      <w:bookmarkStart w:id="18" w:name="_Toc518469484"/>
      <w:bookmarkStart w:id="19" w:name="_Toc518655812"/>
      <w:bookmarkStart w:id="20" w:name="_Toc518656648"/>
      <w:bookmarkStart w:id="21" w:name="_Toc518899424"/>
      <w:bookmarkStart w:id="22" w:name="_Toc518991271"/>
      <w:r w:rsidR="00CC15CE">
        <w:rPr>
          <w:b/>
        </w:rPr>
        <w:t xml:space="preserve">Community Sports Infrastructure </w:t>
      </w:r>
      <w:r w:rsidR="00052167">
        <w:rPr>
          <w:b/>
        </w:rPr>
        <w:t>Loans Scheme</w:t>
      </w:r>
      <w:bookmarkEnd w:id="16"/>
      <w:bookmarkEnd w:id="17"/>
      <w:bookmarkEnd w:id="18"/>
      <w:bookmarkEnd w:id="19"/>
      <w:bookmarkEnd w:id="20"/>
      <w:bookmarkEnd w:id="21"/>
      <w:bookmarkEnd w:id="22"/>
    </w:p>
    <w:p w:rsidR="005F1315" w:rsidRDefault="005F1315" w:rsidP="005F1315">
      <w:pPr>
        <w:pStyle w:val="Heading1"/>
      </w:pPr>
      <w:bookmarkStart w:id="23" w:name="_Toc518991272"/>
      <w:r>
        <w:t xml:space="preserve">1. About the </w:t>
      </w:r>
      <w:r w:rsidR="00052167">
        <w:t>loans scheme</w:t>
      </w:r>
      <w:bookmarkEnd w:id="23"/>
    </w:p>
    <w:p w:rsidR="009F5F02" w:rsidRDefault="009F5F02" w:rsidP="009F5F02">
      <w:pPr>
        <w:pStyle w:val="DHHSbody"/>
      </w:pPr>
      <w:r>
        <w:t xml:space="preserve">The innovative $100 million </w:t>
      </w:r>
      <w:r w:rsidRPr="00880543">
        <w:rPr>
          <w:i/>
        </w:rPr>
        <w:t>Community Sports Infrastructure Loans Scheme</w:t>
      </w:r>
      <w:r>
        <w:t xml:space="preserve"> was announced as part of the 2018-19 Victorian Budget.</w:t>
      </w:r>
    </w:p>
    <w:p w:rsidR="005F1315" w:rsidRPr="002C3C6F" w:rsidRDefault="005F1315" w:rsidP="005F1315">
      <w:pPr>
        <w:pStyle w:val="DHHSbody"/>
      </w:pPr>
      <w:r w:rsidRPr="002C3C6F">
        <w:t xml:space="preserve">The </w:t>
      </w:r>
      <w:r w:rsidRPr="00880543">
        <w:rPr>
          <w:i/>
        </w:rPr>
        <w:t>Community Sports Infrastructure Loans Scheme</w:t>
      </w:r>
      <w:r w:rsidRPr="002C3C6F">
        <w:t xml:space="preserve"> will support the delivery of community sport and recreation infrastructure by </w:t>
      </w:r>
      <w:r>
        <w:t>providing organisations</w:t>
      </w:r>
      <w:r w:rsidRPr="002C3C6F">
        <w:t xml:space="preserve"> access </w:t>
      </w:r>
      <w:r>
        <w:t xml:space="preserve">to </w:t>
      </w:r>
      <w:r w:rsidR="00137472">
        <w:t>low-</w:t>
      </w:r>
      <w:r w:rsidR="00736AC2">
        <w:t xml:space="preserve">interest </w:t>
      </w:r>
      <w:r w:rsidR="00137472">
        <w:t>government-</w:t>
      </w:r>
      <w:r w:rsidRPr="002C3C6F">
        <w:t xml:space="preserve">guaranteed loans </w:t>
      </w:r>
      <w:r w:rsidR="006F7CE1">
        <w:t>between $500,000 and $10 million.</w:t>
      </w:r>
    </w:p>
    <w:p w:rsidR="002C3C6F" w:rsidRDefault="002C3C6F" w:rsidP="002C3C6F">
      <w:pPr>
        <w:pStyle w:val="Heading2"/>
      </w:pPr>
      <w:bookmarkStart w:id="24" w:name="_Toc518991273"/>
      <w:r w:rsidRPr="002C3C6F">
        <w:t xml:space="preserve">1.1 </w:t>
      </w:r>
      <w:r w:rsidR="007D0D8E">
        <w:t xml:space="preserve"> </w:t>
      </w:r>
      <w:r>
        <w:t xml:space="preserve">What are the objectives of the </w:t>
      </w:r>
      <w:r w:rsidR="00052167">
        <w:t>loans scheme</w:t>
      </w:r>
      <w:r>
        <w:t>?</w:t>
      </w:r>
      <w:bookmarkEnd w:id="24"/>
    </w:p>
    <w:p w:rsidR="000E6609" w:rsidRDefault="000E6609" w:rsidP="000E6609">
      <w:pPr>
        <w:pStyle w:val="DHHSbullet1"/>
        <w:numPr>
          <w:ilvl w:val="0"/>
          <w:numId w:val="0"/>
        </w:numPr>
      </w:pPr>
      <w:r>
        <w:t xml:space="preserve">The objectives of the </w:t>
      </w:r>
      <w:r w:rsidRPr="00880543">
        <w:rPr>
          <w:i/>
        </w:rPr>
        <w:t>Community Sports Infrastructure Loans Scheme</w:t>
      </w:r>
      <w:r>
        <w:t xml:space="preserve"> include:</w:t>
      </w:r>
    </w:p>
    <w:p w:rsidR="006F7CE1" w:rsidRPr="00B55B56" w:rsidRDefault="00231288" w:rsidP="006F7CE1">
      <w:pPr>
        <w:pStyle w:val="DHHSbullet1"/>
      </w:pPr>
      <w:r>
        <w:t>I</w:t>
      </w:r>
      <w:r w:rsidR="000E6609">
        <w:t xml:space="preserve">ncrease opportunities for </w:t>
      </w:r>
      <w:r w:rsidR="006F7CE1" w:rsidRPr="00B55B56">
        <w:t xml:space="preserve">councils, clubs, </w:t>
      </w:r>
      <w:r w:rsidR="006F7CE1">
        <w:t xml:space="preserve">associations, </w:t>
      </w:r>
      <w:r w:rsidR="008E6962">
        <w:t>education</w:t>
      </w:r>
      <w:r w:rsidR="00C37CA4">
        <w:t>al</w:t>
      </w:r>
      <w:r w:rsidR="008E6962">
        <w:t xml:space="preserve"> institutions</w:t>
      </w:r>
      <w:r w:rsidR="006F7CE1" w:rsidRPr="00B55B56">
        <w:t xml:space="preserve"> and facility managers </w:t>
      </w:r>
      <w:r w:rsidR="00C37CA4">
        <w:t xml:space="preserve">to </w:t>
      </w:r>
      <w:r w:rsidR="000E6609">
        <w:t xml:space="preserve">invest in the development of </w:t>
      </w:r>
      <w:r w:rsidR="008E6962">
        <w:t xml:space="preserve">community </w:t>
      </w:r>
      <w:r w:rsidR="006F7CE1" w:rsidRPr="00B55B56">
        <w:t>spor</w:t>
      </w:r>
      <w:r w:rsidR="000E6609">
        <w:t xml:space="preserve">t and recreation </w:t>
      </w:r>
      <w:r w:rsidR="00736AC2">
        <w:t xml:space="preserve">infrastructure, </w:t>
      </w:r>
      <w:r w:rsidR="00736AC2" w:rsidRPr="00736AC2">
        <w:t>in addition to existing funding opportunities</w:t>
      </w:r>
      <w:r w:rsidR="00736AC2">
        <w:t>.</w:t>
      </w:r>
    </w:p>
    <w:p w:rsidR="002C0DD6" w:rsidRPr="00B55B56" w:rsidRDefault="00231288" w:rsidP="002C0DD6">
      <w:pPr>
        <w:pStyle w:val="DHHSbullet1"/>
      </w:pPr>
      <w:r>
        <w:t>I</w:t>
      </w:r>
      <w:r w:rsidR="000E6609">
        <w:t xml:space="preserve">ncentivise </w:t>
      </w:r>
      <w:r w:rsidR="000E6609" w:rsidRPr="00B55B56">
        <w:t xml:space="preserve">organisations </w:t>
      </w:r>
      <w:r w:rsidR="000E6609">
        <w:t>such as</w:t>
      </w:r>
      <w:r w:rsidR="00D345C8">
        <w:t xml:space="preserve"> local g</w:t>
      </w:r>
      <w:r w:rsidR="000E6609" w:rsidRPr="00B55B56">
        <w:t xml:space="preserve">overnment </w:t>
      </w:r>
      <w:r w:rsidR="000E6609">
        <w:t>to bring forward community sport and rec</w:t>
      </w:r>
      <w:r w:rsidR="00736AC2">
        <w:t>reation infrastructure delivery.</w:t>
      </w:r>
    </w:p>
    <w:p w:rsidR="002C0DD6" w:rsidRDefault="00231288" w:rsidP="002C0DD6">
      <w:pPr>
        <w:pStyle w:val="DHHSbullet1"/>
      </w:pPr>
      <w:r>
        <w:t>I</w:t>
      </w:r>
      <w:r w:rsidR="002C0DD6" w:rsidRPr="00B55B56">
        <w:t xml:space="preserve">ncrease the capacity and access to sport and </w:t>
      </w:r>
      <w:r w:rsidR="002C0DD6">
        <w:t>recre</w:t>
      </w:r>
      <w:r w:rsidR="00DA2671">
        <w:t>ation opportunities in Victoria.</w:t>
      </w:r>
    </w:p>
    <w:p w:rsidR="0026400E" w:rsidRDefault="00231288" w:rsidP="00B55B56">
      <w:pPr>
        <w:pStyle w:val="DHHSbullet1"/>
      </w:pPr>
      <w:r>
        <w:t>F</w:t>
      </w:r>
      <w:r w:rsidR="0026400E">
        <w:t>acilitate the upgrade and development of significant metropolitan and regional community spor</w:t>
      </w:r>
      <w:r w:rsidR="00DA2671">
        <w:t>t and recreation infrastructure.</w:t>
      </w:r>
    </w:p>
    <w:p w:rsidR="002C3C6F" w:rsidRPr="00B55B56" w:rsidRDefault="00231288" w:rsidP="00C77621">
      <w:pPr>
        <w:pStyle w:val="DHHSbullet1"/>
      </w:pPr>
      <w:r>
        <w:t>S</w:t>
      </w:r>
      <w:r w:rsidR="002C3C6F" w:rsidRPr="00B55B56">
        <w:t xml:space="preserve">upport projects </w:t>
      </w:r>
      <w:r w:rsidR="00C77621">
        <w:t>which provide the greatest community access and benefit</w:t>
      </w:r>
      <w:r w:rsidR="00DA2671">
        <w:t>.</w:t>
      </w:r>
    </w:p>
    <w:p w:rsidR="008E6962" w:rsidRPr="00B55B56" w:rsidRDefault="00231288" w:rsidP="009F5F02">
      <w:pPr>
        <w:pStyle w:val="DHHSbullet1"/>
      </w:pPr>
      <w:r>
        <w:t>S</w:t>
      </w:r>
      <w:r w:rsidR="008E6962">
        <w:t>upport a range of organisations who can demonstrate the capability and ca</w:t>
      </w:r>
      <w:r w:rsidR="002C0DD6">
        <w:t xml:space="preserve">pacity to deliver the Victorian </w:t>
      </w:r>
      <w:r w:rsidR="008E6962">
        <w:t>Government</w:t>
      </w:r>
      <w:r w:rsidR="00C37CA4">
        <w:t>’</w:t>
      </w:r>
      <w:r w:rsidR="008E6962">
        <w:t xml:space="preserve">s objectives </w:t>
      </w:r>
      <w:r w:rsidR="00C37CA4">
        <w:t xml:space="preserve">as </w:t>
      </w:r>
      <w:r w:rsidR="008E6962">
        <w:t xml:space="preserve">outlined in </w:t>
      </w:r>
      <w:r w:rsidR="0026400E">
        <w:t xml:space="preserve">the </w:t>
      </w:r>
      <w:hyperlink r:id="rId13" w:history="1">
        <w:r w:rsidR="008E6962" w:rsidRPr="0026400E">
          <w:rPr>
            <w:rStyle w:val="Hyperlink"/>
          </w:rPr>
          <w:t>Active V</w:t>
        </w:r>
        <w:r w:rsidR="00052167" w:rsidRPr="0026400E">
          <w:rPr>
            <w:rStyle w:val="Hyperlink"/>
          </w:rPr>
          <w:t>i</w:t>
        </w:r>
        <w:r w:rsidR="00C37CA4" w:rsidRPr="0026400E">
          <w:rPr>
            <w:rStyle w:val="Hyperlink"/>
          </w:rPr>
          <w:t xml:space="preserve">ctoria </w:t>
        </w:r>
        <w:r w:rsidR="0026400E" w:rsidRPr="0026400E">
          <w:rPr>
            <w:rStyle w:val="Hyperlink"/>
          </w:rPr>
          <w:t>Strategic Framework</w:t>
        </w:r>
      </w:hyperlink>
      <w:r w:rsidR="0026400E">
        <w:t>.</w:t>
      </w:r>
    </w:p>
    <w:p w:rsidR="005F1315" w:rsidRDefault="005F1315" w:rsidP="005F1315">
      <w:pPr>
        <w:pStyle w:val="Heading2"/>
      </w:pPr>
      <w:bookmarkStart w:id="25" w:name="_Toc518991274"/>
      <w:r>
        <w:t>1.2</w:t>
      </w:r>
      <w:r w:rsidR="007D0D8E">
        <w:t xml:space="preserve"> </w:t>
      </w:r>
      <w:r w:rsidRPr="002C3C6F">
        <w:t xml:space="preserve"> </w:t>
      </w:r>
      <w:r>
        <w:t xml:space="preserve">How much </w:t>
      </w:r>
      <w:r w:rsidR="00AB65CE">
        <w:t>can be applied for</w:t>
      </w:r>
      <w:r>
        <w:t>?</w:t>
      </w:r>
      <w:bookmarkEnd w:id="25"/>
    </w:p>
    <w:p w:rsidR="005F1315" w:rsidRDefault="005F1315" w:rsidP="005F1315">
      <w:pPr>
        <w:pStyle w:val="DHHSbody"/>
      </w:pPr>
      <w:r w:rsidRPr="00C67B0C">
        <w:t xml:space="preserve">Organisations </w:t>
      </w:r>
      <w:r>
        <w:t>may</w:t>
      </w:r>
      <w:r w:rsidRPr="00C67B0C">
        <w:t xml:space="preserve"> </w:t>
      </w:r>
      <w:r w:rsidR="008E6962">
        <w:t>seek lending approval</w:t>
      </w:r>
      <w:r>
        <w:t xml:space="preserve"> for loans between $500,000 and $10 million.</w:t>
      </w:r>
    </w:p>
    <w:p w:rsidR="008E6962" w:rsidRDefault="005F1315" w:rsidP="005F1315">
      <w:pPr>
        <w:pStyle w:val="Heading2"/>
      </w:pPr>
      <w:bookmarkStart w:id="26" w:name="_Toc518991275"/>
      <w:r w:rsidRPr="005F1315">
        <w:t xml:space="preserve">1.3 </w:t>
      </w:r>
      <w:r w:rsidR="007D0D8E">
        <w:t xml:space="preserve"> </w:t>
      </w:r>
      <w:r w:rsidR="008E6962">
        <w:t>How does the scheme work?</w:t>
      </w:r>
      <w:bookmarkEnd w:id="26"/>
    </w:p>
    <w:p w:rsidR="00130334" w:rsidRDefault="00130334" w:rsidP="00130334">
      <w:pPr>
        <w:pStyle w:val="DHHSbody"/>
      </w:pPr>
      <w:r w:rsidRPr="00130334">
        <w:t>The triple-A credit rating currently h</w:t>
      </w:r>
      <w:r w:rsidR="002F6B35">
        <w:t>eld by Victoria means that the s</w:t>
      </w:r>
      <w:r w:rsidRPr="00130334">
        <w:t>tate can borro</w:t>
      </w:r>
      <w:r w:rsidR="009F5F02">
        <w:t>w money at cheaper rates than are</w:t>
      </w:r>
      <w:r w:rsidRPr="00130334">
        <w:t xml:space="preserve"> commerc</w:t>
      </w:r>
      <w:r w:rsidR="002F6B35">
        <w:t>ially available. This puts the g</w:t>
      </w:r>
      <w:r w:rsidRPr="00130334">
        <w:t xml:space="preserve">overnment in a strong position to use their borrowing power to guarantee loans to organisations who would not be able to access finance at </w:t>
      </w:r>
      <w:r w:rsidR="002C0DD6">
        <w:t>such</w:t>
      </w:r>
      <w:r w:rsidRPr="00130334">
        <w:t xml:space="preserve"> rate</w:t>
      </w:r>
      <w:r>
        <w:t>s.</w:t>
      </w:r>
    </w:p>
    <w:p w:rsidR="00066667" w:rsidRDefault="00137472" w:rsidP="00130334">
      <w:pPr>
        <w:pStyle w:val="DHHSbody"/>
      </w:pPr>
      <w:r>
        <w:t>In addition to accessing a low-</w:t>
      </w:r>
      <w:r w:rsidR="00066667" w:rsidRPr="00066667">
        <w:t xml:space="preserve">interest rate loan from the Treasury Corporation of Victoria, organisations will receive additional interest subsides that will further reduce the interest rate paid by </w:t>
      </w:r>
      <w:r w:rsidR="002F6B35">
        <w:t>borrowers by at least 50 per cent</w:t>
      </w:r>
      <w:r w:rsidR="00066667" w:rsidRPr="00066667">
        <w:t>.</w:t>
      </w:r>
    </w:p>
    <w:p w:rsidR="00130334" w:rsidRDefault="00130334" w:rsidP="00130334">
      <w:pPr>
        <w:pStyle w:val="DHHSbody"/>
      </w:pPr>
      <w:r w:rsidRPr="00130334">
        <w:t xml:space="preserve">The primary benefit of the </w:t>
      </w:r>
      <w:r w:rsidRPr="00880543">
        <w:rPr>
          <w:i/>
        </w:rPr>
        <w:t>Community Sports Infrastructure Loans Scheme</w:t>
      </w:r>
      <w:r w:rsidRPr="00130334">
        <w:t xml:space="preserve"> is that organisations will be able to achieve savin</w:t>
      </w:r>
      <w:r w:rsidR="00137472">
        <w:t>gs through having access to low-</w:t>
      </w:r>
      <w:r w:rsidRPr="00130334">
        <w:t xml:space="preserve">interest subsidised loans </w:t>
      </w:r>
      <w:r w:rsidR="004769CE">
        <w:t>financed</w:t>
      </w:r>
      <w:r w:rsidRPr="00130334">
        <w:t xml:space="preserve"> through the Treasury Corporation of Victoria. </w:t>
      </w:r>
    </w:p>
    <w:p w:rsidR="005F1315" w:rsidRPr="005F1315" w:rsidRDefault="008E6962" w:rsidP="00130334">
      <w:pPr>
        <w:pStyle w:val="DHHSbody"/>
      </w:pPr>
      <w:r w:rsidRPr="00130334">
        <w:rPr>
          <w:rFonts w:eastAsia="Times New Roman"/>
          <w:b/>
          <w:color w:val="AF272F"/>
          <w:sz w:val="28"/>
          <w:szCs w:val="28"/>
        </w:rPr>
        <w:t>1.4</w:t>
      </w:r>
      <w:r w:rsidR="0091569A">
        <w:rPr>
          <w:rFonts w:eastAsia="Times New Roman"/>
          <w:b/>
          <w:color w:val="AF272F"/>
          <w:sz w:val="28"/>
          <w:szCs w:val="28"/>
        </w:rPr>
        <w:t xml:space="preserve">  </w:t>
      </w:r>
      <w:r w:rsidR="005F1315" w:rsidRPr="00130334">
        <w:rPr>
          <w:rFonts w:eastAsia="Times New Roman"/>
          <w:b/>
          <w:color w:val="AF272F"/>
          <w:sz w:val="28"/>
          <w:szCs w:val="28"/>
        </w:rPr>
        <w:t>What would the interest rate on a loan be?</w:t>
      </w:r>
    </w:p>
    <w:p w:rsidR="00066667" w:rsidRDefault="00066667" w:rsidP="00920DDE">
      <w:pPr>
        <w:pStyle w:val="DHHSbody"/>
      </w:pPr>
      <w:r w:rsidRPr="00066667">
        <w:t>Loans through the scheme will be provided at the Treasury Corporation of Victoria's borrowing rate at the date of contract execution. As of 25 June 2018, the interest rate for a 10 year loan from the Treasury C</w:t>
      </w:r>
      <w:r w:rsidR="002F6B35">
        <w:t>orporation of Victoria was 3.10 per cent</w:t>
      </w:r>
      <w:r w:rsidRPr="00066667">
        <w:t xml:space="preserve"> (inclusive of administrative costs). </w:t>
      </w:r>
    </w:p>
    <w:p w:rsidR="004769CE" w:rsidRDefault="004769CE" w:rsidP="00920DDE">
      <w:pPr>
        <w:pStyle w:val="DHHSbody"/>
      </w:pPr>
      <w:r>
        <w:t>It’s anticipated that the Victorian Governme</w:t>
      </w:r>
      <w:r w:rsidR="00030EF4">
        <w:t>nt’s additional interest subsidie</w:t>
      </w:r>
      <w:r>
        <w:t xml:space="preserve">s </w:t>
      </w:r>
      <w:r w:rsidRPr="00920DDE">
        <w:t xml:space="preserve">will reduce the </w:t>
      </w:r>
      <w:r w:rsidR="00A1265E">
        <w:t xml:space="preserve">interest </w:t>
      </w:r>
      <w:r w:rsidRPr="00920DDE">
        <w:t xml:space="preserve">rate paid by </w:t>
      </w:r>
      <w:r>
        <w:t>organisation</w:t>
      </w:r>
      <w:r w:rsidR="00A1265E">
        <w:t>s</w:t>
      </w:r>
      <w:r>
        <w:t xml:space="preserve"> by </w:t>
      </w:r>
      <w:r w:rsidRPr="00920DDE">
        <w:t>at least 50</w:t>
      </w:r>
      <w:r w:rsidR="002F6B35">
        <w:t xml:space="preserve"> per cent.</w:t>
      </w:r>
    </w:p>
    <w:p w:rsidR="00920DDE" w:rsidRDefault="004769CE" w:rsidP="00920DDE">
      <w:pPr>
        <w:pStyle w:val="DHHSbody"/>
      </w:pPr>
      <w:r>
        <w:t>It is important to note that t</w:t>
      </w:r>
      <w:r w:rsidRPr="00920DDE">
        <w:t>he Tre</w:t>
      </w:r>
      <w:r>
        <w:t xml:space="preserve">asury Corporation of Victoria’s </w:t>
      </w:r>
      <w:r w:rsidRPr="00920DDE">
        <w:t>borrowing rates are</w:t>
      </w:r>
      <w:r>
        <w:t xml:space="preserve"> subject to market fluctuations and </w:t>
      </w:r>
      <w:r w:rsidR="00A1265E">
        <w:t xml:space="preserve">therefore the actual interest rate offered will be dependent on </w:t>
      </w:r>
      <w:r w:rsidR="00A1265E" w:rsidRPr="00920DDE">
        <w:t>the Treasury Corporation of Victoria's borrowing rate at the date of contract execution</w:t>
      </w:r>
      <w:r w:rsidR="00A1265E">
        <w:t xml:space="preserve">. </w:t>
      </w:r>
    </w:p>
    <w:p w:rsidR="005F1315" w:rsidRPr="006177FE" w:rsidRDefault="005F1315" w:rsidP="00920DDE">
      <w:pPr>
        <w:pStyle w:val="Heading1"/>
      </w:pPr>
      <w:bookmarkStart w:id="27" w:name="_Toc518991276"/>
      <w:r w:rsidRPr="006177FE">
        <w:lastRenderedPageBreak/>
        <w:t>2. Eligibility</w:t>
      </w:r>
      <w:bookmarkEnd w:id="27"/>
      <w:r w:rsidRPr="006177FE">
        <w:t xml:space="preserve"> </w:t>
      </w:r>
    </w:p>
    <w:p w:rsidR="003D21B2" w:rsidRDefault="0081032E" w:rsidP="003D21B2">
      <w:pPr>
        <w:pStyle w:val="DHHSbody"/>
      </w:pPr>
      <w:r>
        <w:t>Loan a</w:t>
      </w:r>
      <w:r w:rsidR="003D21B2">
        <w:t>pplications must demonstr</w:t>
      </w:r>
      <w:r w:rsidR="002C0DD6">
        <w:t>ate strong community sport and</w:t>
      </w:r>
      <w:r w:rsidR="003D21B2">
        <w:t xml:space="preserve"> </w:t>
      </w:r>
      <w:r w:rsidR="00C37CA4">
        <w:t>recreation benefits while</w:t>
      </w:r>
      <w:r w:rsidR="003D21B2">
        <w:t xml:space="preserve"> satisfying </w:t>
      </w:r>
      <w:r w:rsidR="001A7AFD">
        <w:t>a</w:t>
      </w:r>
      <w:r w:rsidR="008E09F0">
        <w:t xml:space="preserve"> </w:t>
      </w:r>
      <w:r w:rsidR="000A050B">
        <w:t xml:space="preserve">credit assessment </w:t>
      </w:r>
      <w:r w:rsidR="000A050B" w:rsidRPr="000A050B">
        <w:t>which will consider the applicant</w:t>
      </w:r>
      <w:r w:rsidR="00C75642">
        <w:t>’</w:t>
      </w:r>
      <w:r w:rsidR="000A050B" w:rsidRPr="000A050B">
        <w:t xml:space="preserve">s capacity to repay the </w:t>
      </w:r>
      <w:r w:rsidR="002C0DD6">
        <w:t xml:space="preserve">loan and meet interest payments, among other </w:t>
      </w:r>
      <w:r w:rsidR="00B36C05">
        <w:t>measures</w:t>
      </w:r>
      <w:r w:rsidR="002C0DD6">
        <w:t>.</w:t>
      </w:r>
    </w:p>
    <w:p w:rsidR="005F1315" w:rsidRPr="00B55B56" w:rsidRDefault="005F1315" w:rsidP="005F1315">
      <w:pPr>
        <w:pStyle w:val="Heading2"/>
      </w:pPr>
      <w:bookmarkStart w:id="28" w:name="_Toc518991277"/>
      <w:r>
        <w:t xml:space="preserve">2.1 </w:t>
      </w:r>
      <w:r w:rsidR="007D0D8E">
        <w:t xml:space="preserve"> </w:t>
      </w:r>
      <w:r w:rsidRPr="00B55B56">
        <w:t>Who can apply?</w:t>
      </w:r>
      <w:bookmarkEnd w:id="28"/>
    </w:p>
    <w:p w:rsidR="005F1315" w:rsidRDefault="005F1315" w:rsidP="005F1315">
      <w:pPr>
        <w:pStyle w:val="DHHSbody"/>
      </w:pPr>
      <w:r>
        <w:t xml:space="preserve">Applications may be </w:t>
      </w:r>
      <w:r w:rsidR="00FA4BCE">
        <w:t>submitted</w:t>
      </w:r>
      <w:r>
        <w:t xml:space="preserve"> for </w:t>
      </w:r>
      <w:r w:rsidR="00C75642">
        <w:t xml:space="preserve">community </w:t>
      </w:r>
      <w:r w:rsidR="006F7CE1">
        <w:t>sport and recreation infrastructure projects</w:t>
      </w:r>
      <w:r>
        <w:t xml:space="preserve"> </w:t>
      </w:r>
      <w:r w:rsidR="003D21B2">
        <w:t xml:space="preserve">to be developed </w:t>
      </w:r>
      <w:r w:rsidR="006F7CE1">
        <w:t>within Victoria</w:t>
      </w:r>
      <w:r>
        <w:t xml:space="preserve"> from eligible applicants</w:t>
      </w:r>
      <w:r w:rsidR="002C0DD6">
        <w:t>,</w:t>
      </w:r>
      <w:r w:rsidR="006F7CE1">
        <w:t xml:space="preserve"> including:</w:t>
      </w:r>
    </w:p>
    <w:p w:rsidR="007D0D8E" w:rsidRDefault="00231288" w:rsidP="007D0D8E">
      <w:pPr>
        <w:pStyle w:val="DHHSbullet1"/>
      </w:pPr>
      <w:r>
        <w:t>L</w:t>
      </w:r>
      <w:r w:rsidR="00DA2671">
        <w:t>ocal government a</w:t>
      </w:r>
      <w:r w:rsidR="0049639A">
        <w:t>uthorities</w:t>
      </w:r>
      <w:r w:rsidR="00880543">
        <w:t>.</w:t>
      </w:r>
    </w:p>
    <w:p w:rsidR="00414B56" w:rsidRDefault="00231288" w:rsidP="00414B56">
      <w:pPr>
        <w:pStyle w:val="DHHSbullet1"/>
      </w:pPr>
      <w:r>
        <w:t>I</w:t>
      </w:r>
      <w:r w:rsidR="0049639A">
        <w:t>ncorporated</w:t>
      </w:r>
      <w:r w:rsidR="00414B56">
        <w:t>, not-for-profit organisations whose primary purpose is to f</w:t>
      </w:r>
      <w:r w:rsidR="002C0DD6">
        <w:t>acilitate community sport and</w:t>
      </w:r>
      <w:r w:rsidR="00414B56">
        <w:t xml:space="preserve"> recreation activities including: </w:t>
      </w:r>
    </w:p>
    <w:p w:rsidR="00414B56" w:rsidRDefault="002F6B35" w:rsidP="00414B56">
      <w:pPr>
        <w:pStyle w:val="DHHSbullet2"/>
        <w:ind w:left="709"/>
      </w:pPr>
      <w:r>
        <w:t>s</w:t>
      </w:r>
      <w:r w:rsidR="00414B56">
        <w:t>port and recreation clubs and associations</w:t>
      </w:r>
    </w:p>
    <w:p w:rsidR="00414B56" w:rsidRDefault="002F6B35" w:rsidP="00414B56">
      <w:pPr>
        <w:pStyle w:val="DHHSbullet2"/>
        <w:ind w:left="709"/>
      </w:pPr>
      <w:r>
        <w:t>s</w:t>
      </w:r>
      <w:r w:rsidR="0049639A">
        <w:t>port and recreation clubs who own their own land, are a tenant of a private facility or not a tenant of a local council</w:t>
      </w:r>
      <w:r w:rsidR="00DA2671">
        <w:t>.</w:t>
      </w:r>
    </w:p>
    <w:p w:rsidR="005F1315" w:rsidRDefault="007D0D8E" w:rsidP="007D0D8E">
      <w:pPr>
        <w:pStyle w:val="DHHSbullet1"/>
      </w:pPr>
      <w:r w:rsidRPr="003D21B2">
        <w:t>Victorian</w:t>
      </w:r>
      <w:r w:rsidR="005F1315" w:rsidRPr="003D21B2">
        <w:t xml:space="preserve"> </w:t>
      </w:r>
      <w:r w:rsidR="002F6B35">
        <w:t>s</w:t>
      </w:r>
      <w:r w:rsidR="0049639A">
        <w:t>tate</w:t>
      </w:r>
      <w:r w:rsidR="002F6B35">
        <w:t xml:space="preserve"> s</w:t>
      </w:r>
      <w:r w:rsidR="005F1315" w:rsidRPr="003D21B2">
        <w:t xml:space="preserve">porting </w:t>
      </w:r>
      <w:r w:rsidR="002F6B35">
        <w:t>a</w:t>
      </w:r>
      <w:r w:rsidR="003D21B2" w:rsidRPr="003D21B2">
        <w:t>ssociations</w:t>
      </w:r>
      <w:r w:rsidR="002F6B35">
        <w:t xml:space="preserve"> or the national sporting o</w:t>
      </w:r>
      <w:r w:rsidR="005F1315" w:rsidRPr="003D21B2">
        <w:t xml:space="preserve">rganisation </w:t>
      </w:r>
      <w:r w:rsidR="0049639A">
        <w:t>seeking to invest in a community infrastructure project</w:t>
      </w:r>
      <w:r w:rsidR="00DA2671">
        <w:t>.</w:t>
      </w:r>
    </w:p>
    <w:p w:rsidR="0049639A" w:rsidRPr="003D21B2" w:rsidRDefault="00231288" w:rsidP="007D0D8E">
      <w:pPr>
        <w:pStyle w:val="DHHSbullet1"/>
      </w:pPr>
      <w:r>
        <w:t>N</w:t>
      </w:r>
      <w:r w:rsidR="00C04C11">
        <w:t>ot-for-</w:t>
      </w:r>
      <w:r w:rsidR="0049639A">
        <w:t>profit and private facility managers with long</w:t>
      </w:r>
      <w:r w:rsidR="00C04C11">
        <w:t>-</w:t>
      </w:r>
      <w:r w:rsidR="0049639A">
        <w:t>term community f</w:t>
      </w:r>
      <w:r w:rsidR="00DA2671">
        <w:t>acility management arrangements.</w:t>
      </w:r>
    </w:p>
    <w:p w:rsidR="00B90CE8" w:rsidRDefault="00231288" w:rsidP="00B90CE8">
      <w:pPr>
        <w:pStyle w:val="DHHSbullet1"/>
      </w:pPr>
      <w:r>
        <w:t>P</w:t>
      </w:r>
      <w:r w:rsidR="005F1315">
        <w:t>rivate enterprises</w:t>
      </w:r>
      <w:r w:rsidR="00630E30">
        <w:t xml:space="preserve"> </w:t>
      </w:r>
      <w:r w:rsidR="00C37CA4" w:rsidRPr="00052167">
        <w:t xml:space="preserve">with long term community access arrangements or </w:t>
      </w:r>
      <w:r w:rsidR="00C75642">
        <w:t xml:space="preserve">those who </w:t>
      </w:r>
      <w:r w:rsidR="00C37CA4" w:rsidRPr="00052167">
        <w:t>can demonstrate long term access to the public</w:t>
      </w:r>
      <w:r w:rsidR="00880543">
        <w:t>.</w:t>
      </w:r>
    </w:p>
    <w:p w:rsidR="00B90CE8" w:rsidRDefault="00231288" w:rsidP="00B90CE8">
      <w:pPr>
        <w:pStyle w:val="DHHSbullet1"/>
      </w:pPr>
      <w:r>
        <w:t>E</w:t>
      </w:r>
      <w:r w:rsidR="00B90CE8" w:rsidRPr="00B90CE8">
        <w:t>ducational institutions such as universities or non-government schools (schools not in a position to borrow funds are encouraged to work with project partners).</w:t>
      </w:r>
    </w:p>
    <w:p w:rsidR="00630E30" w:rsidRDefault="002C0DD6" w:rsidP="00D91D3B">
      <w:pPr>
        <w:pStyle w:val="DHHSbullet1"/>
        <w:numPr>
          <w:ilvl w:val="0"/>
          <w:numId w:val="0"/>
        </w:numPr>
      </w:pPr>
      <w:r>
        <w:t>Applications from organisations with limited alternative revenue streams will be considered a priority.</w:t>
      </w:r>
    </w:p>
    <w:p w:rsidR="00D2426C" w:rsidRDefault="00D2426C" w:rsidP="0041107C">
      <w:pPr>
        <w:pStyle w:val="Heading2"/>
        <w:numPr>
          <w:ilvl w:val="1"/>
          <w:numId w:val="46"/>
        </w:numPr>
      </w:pPr>
      <w:r>
        <w:t xml:space="preserve"> </w:t>
      </w:r>
      <w:bookmarkStart w:id="29" w:name="_Toc518991278"/>
      <w:r w:rsidR="0091569A">
        <w:t xml:space="preserve"> </w:t>
      </w:r>
      <w:r>
        <w:t>Who is ineligible?</w:t>
      </w:r>
      <w:bookmarkEnd w:id="29"/>
    </w:p>
    <w:p w:rsidR="0041107C" w:rsidRDefault="0041107C" w:rsidP="0041107C">
      <w:pPr>
        <w:pStyle w:val="DHHSbullet1"/>
        <w:numPr>
          <w:ilvl w:val="0"/>
          <w:numId w:val="0"/>
        </w:numPr>
      </w:pPr>
      <w:r>
        <w:t>G</w:t>
      </w:r>
      <w:r w:rsidR="002F6B35">
        <w:t>eneral g</w:t>
      </w:r>
      <w:r w:rsidRPr="0041107C">
        <w:t xml:space="preserve">overnment sector agencies generally are not able to borrow from Treasury Corporation of Victoria as they are funded through the budget process. These entities include: </w:t>
      </w:r>
    </w:p>
    <w:p w:rsidR="00A64382" w:rsidRDefault="00A64382" w:rsidP="0041107C">
      <w:pPr>
        <w:pStyle w:val="DHHSbullet1"/>
      </w:pPr>
      <w:r>
        <w:t xml:space="preserve">Alpine </w:t>
      </w:r>
      <w:r w:rsidR="00880543">
        <w:t>Resorts Co-ordinating Councils</w:t>
      </w:r>
    </w:p>
    <w:p w:rsidR="00A64382" w:rsidRDefault="00880543" w:rsidP="00A64382">
      <w:pPr>
        <w:pStyle w:val="DHHSbullet1"/>
      </w:pPr>
      <w:r>
        <w:t>Parks Victoria</w:t>
      </w:r>
    </w:p>
    <w:p w:rsidR="00A64382" w:rsidRDefault="00880543" w:rsidP="00A64382">
      <w:pPr>
        <w:pStyle w:val="DHHSbullet1"/>
      </w:pPr>
      <w:r>
        <w:t>Kardinia Park Trust</w:t>
      </w:r>
    </w:p>
    <w:p w:rsidR="00A64382" w:rsidRDefault="00A64382" w:rsidP="00A64382">
      <w:pPr>
        <w:pStyle w:val="DHHSbullet1"/>
      </w:pPr>
      <w:r>
        <w:t>M</w:t>
      </w:r>
      <w:r w:rsidR="00880543">
        <w:t>elbourne and Olympic Park Trust</w:t>
      </w:r>
    </w:p>
    <w:p w:rsidR="00A64382" w:rsidRDefault="00880543" w:rsidP="00A64382">
      <w:pPr>
        <w:pStyle w:val="DHHSbullet1"/>
      </w:pPr>
      <w:r>
        <w:t>State Sports Centre Trust</w:t>
      </w:r>
    </w:p>
    <w:p w:rsidR="00A64382" w:rsidRDefault="00880543" w:rsidP="00A64382">
      <w:pPr>
        <w:pStyle w:val="DHHSbullet1"/>
      </w:pPr>
      <w:r>
        <w:t>TAFEs</w:t>
      </w:r>
    </w:p>
    <w:p w:rsidR="00A64382" w:rsidRDefault="00A64382" w:rsidP="00A64382">
      <w:pPr>
        <w:pStyle w:val="DHHSbullet1"/>
      </w:pPr>
      <w:r>
        <w:t>Publi</w:t>
      </w:r>
      <w:r w:rsidR="00880543">
        <w:t>c primary and secondary schools</w:t>
      </w:r>
    </w:p>
    <w:p w:rsidR="00D2426C" w:rsidRDefault="00A64382" w:rsidP="00A64382">
      <w:pPr>
        <w:pStyle w:val="DHHSbody"/>
      </w:pPr>
      <w:r>
        <w:t xml:space="preserve">A full list of ineligible government sector entities can be found at </w:t>
      </w:r>
      <w:hyperlink r:id="rId14" w:history="1">
        <w:r w:rsidR="00D2426C" w:rsidRPr="00392108">
          <w:rPr>
            <w:rStyle w:val="Hyperlink"/>
          </w:rPr>
          <w:t>www.sport.vic.gov.au/loans</w:t>
        </w:r>
      </w:hyperlink>
    </w:p>
    <w:p w:rsidR="005F1315" w:rsidRPr="00F263B7" w:rsidRDefault="00D2426C" w:rsidP="005F1315">
      <w:pPr>
        <w:pStyle w:val="Heading2"/>
      </w:pPr>
      <w:bookmarkStart w:id="30" w:name="_Toc518991279"/>
      <w:r>
        <w:t>2.3</w:t>
      </w:r>
      <w:r w:rsidR="005F1315">
        <w:t xml:space="preserve"> </w:t>
      </w:r>
      <w:r w:rsidR="007D0D8E">
        <w:t xml:space="preserve"> </w:t>
      </w:r>
      <w:r w:rsidR="005F1315" w:rsidRPr="00D178E7">
        <w:t xml:space="preserve">What types of </w:t>
      </w:r>
      <w:r w:rsidR="005F1315">
        <w:t>projects</w:t>
      </w:r>
      <w:r w:rsidR="005F1315" w:rsidRPr="00D178E7">
        <w:t xml:space="preserve"> </w:t>
      </w:r>
      <w:r w:rsidR="00414B56">
        <w:t>may</w:t>
      </w:r>
      <w:r w:rsidR="005F1315" w:rsidRPr="00D178E7">
        <w:t xml:space="preserve"> be </w:t>
      </w:r>
      <w:r w:rsidR="005F1315">
        <w:t>supported</w:t>
      </w:r>
      <w:r w:rsidR="00414B56">
        <w:t>?</w:t>
      </w:r>
      <w:bookmarkEnd w:id="30"/>
    </w:p>
    <w:p w:rsidR="005F1315" w:rsidRPr="00461622" w:rsidRDefault="00DC3EB5" w:rsidP="00DC3EB5">
      <w:pPr>
        <w:pStyle w:val="DHHSbullet1"/>
        <w:numPr>
          <w:ilvl w:val="0"/>
          <w:numId w:val="0"/>
        </w:numPr>
      </w:pPr>
      <w:r>
        <w:t>P</w:t>
      </w:r>
      <w:r w:rsidRPr="00C77621">
        <w:t xml:space="preserve">riority will be given to the projects that provide </w:t>
      </w:r>
      <w:r>
        <w:t xml:space="preserve">the greatest community benefit. </w:t>
      </w:r>
      <w:r w:rsidR="005F1315" w:rsidRPr="00461622">
        <w:t>Projects that may be supported under the scheme include, but are not limited to:</w:t>
      </w:r>
    </w:p>
    <w:p w:rsidR="00414B56" w:rsidRDefault="00231288" w:rsidP="00414B56">
      <w:pPr>
        <w:pStyle w:val="DHHSbullet1"/>
      </w:pPr>
      <w:r>
        <w:t>N</w:t>
      </w:r>
      <w:r w:rsidR="00414B56">
        <w:t>ew or redeveloped indoor or outdoor aquatic leisure facilities</w:t>
      </w:r>
      <w:r>
        <w:t>.</w:t>
      </w:r>
    </w:p>
    <w:p w:rsidR="00414B56" w:rsidRDefault="00231288" w:rsidP="00414B56">
      <w:pPr>
        <w:pStyle w:val="DHHSbullet1"/>
      </w:pPr>
      <w:r>
        <w:t>N</w:t>
      </w:r>
      <w:r w:rsidR="00414B56">
        <w:t>ew or redeveloped indoor sports stadiums</w:t>
      </w:r>
      <w:r>
        <w:t>.</w:t>
      </w:r>
    </w:p>
    <w:p w:rsidR="00414B56" w:rsidRDefault="00231288" w:rsidP="00414B56">
      <w:pPr>
        <w:pStyle w:val="DHHSbullet1"/>
      </w:pPr>
      <w:r>
        <w:t>P</w:t>
      </w:r>
      <w:r w:rsidR="00414B56">
        <w:t xml:space="preserve">avilions including </w:t>
      </w:r>
      <w:proofErr w:type="spellStart"/>
      <w:r w:rsidR="00414B56">
        <w:t>changeroom</w:t>
      </w:r>
      <w:proofErr w:type="spellEnd"/>
      <w:r w:rsidR="00414B56">
        <w:t xml:space="preserve"> developments</w:t>
      </w:r>
      <w:r>
        <w:t>.</w:t>
      </w:r>
    </w:p>
    <w:p w:rsidR="00414B56" w:rsidRDefault="00231288" w:rsidP="00414B56">
      <w:pPr>
        <w:pStyle w:val="DHHSbullet1"/>
      </w:pPr>
      <w:r>
        <w:t>S</w:t>
      </w:r>
      <w:r w:rsidR="00414B56">
        <w:t>ynthetic sports surfaces</w:t>
      </w:r>
      <w:r w:rsidR="0049639A">
        <w:t xml:space="preserve"> </w:t>
      </w:r>
      <w:r w:rsidR="002C0DD6">
        <w:t>(</w:t>
      </w:r>
      <w:r w:rsidR="0049639A">
        <w:t>including replacements</w:t>
      </w:r>
      <w:r w:rsidR="002C0DD6">
        <w:t>)</w:t>
      </w:r>
      <w:r>
        <w:t>.</w:t>
      </w:r>
    </w:p>
    <w:p w:rsidR="00414B56" w:rsidRDefault="00231288" w:rsidP="0023750D">
      <w:pPr>
        <w:pStyle w:val="DHHSbullet1"/>
      </w:pPr>
      <w:r>
        <w:lastRenderedPageBreak/>
        <w:t>A</w:t>
      </w:r>
      <w:r w:rsidR="0023750D" w:rsidRPr="0023750D">
        <w:t>ctive recreation infrastructure including but not limited to trails, play spaces, skate parks and BMX tracks</w:t>
      </w:r>
      <w:r>
        <w:t>.</w:t>
      </w:r>
    </w:p>
    <w:p w:rsidR="00414B56" w:rsidRDefault="00231288" w:rsidP="00414B56">
      <w:pPr>
        <w:pStyle w:val="DHHSbullet1"/>
      </w:pPr>
      <w:r>
        <w:t>N</w:t>
      </w:r>
      <w:r w:rsidR="00414B56">
        <w:t>ew or upgraded community sport precincts</w:t>
      </w:r>
      <w:r w:rsidR="002C0DD6">
        <w:t xml:space="preserve"> includ</w:t>
      </w:r>
      <w:r w:rsidR="00880543">
        <w:t>ing sports fields and lighting.</w:t>
      </w:r>
    </w:p>
    <w:p w:rsidR="002F6B35" w:rsidRDefault="00AA4A74" w:rsidP="00AA4A74">
      <w:pPr>
        <w:pStyle w:val="DHHSbullet1"/>
        <w:numPr>
          <w:ilvl w:val="0"/>
          <w:numId w:val="0"/>
        </w:numPr>
      </w:pPr>
      <w:bookmarkStart w:id="31" w:name="_Toc518310401"/>
      <w:bookmarkStart w:id="32" w:name="_Toc518469315"/>
      <w:bookmarkStart w:id="33" w:name="_Toc518469492"/>
      <w:r>
        <w:t>Projects are expected to be delivered by qualified</w:t>
      </w:r>
      <w:r>
        <w:t xml:space="preserve"> </w:t>
      </w:r>
      <w:r>
        <w:t>professionals, incorporate universal design</w:t>
      </w:r>
      <w:r>
        <w:t xml:space="preserve"> </w:t>
      </w:r>
      <w:r>
        <w:t>principles and comply to Australian standards</w:t>
      </w:r>
      <w:r>
        <w:t xml:space="preserve"> </w:t>
      </w:r>
      <w:r>
        <w:t>and those of the relevant sport.</w:t>
      </w:r>
      <w:bookmarkStart w:id="34" w:name="_GoBack"/>
      <w:bookmarkEnd w:id="34"/>
    </w:p>
    <w:p w:rsidR="00042F70" w:rsidRPr="00C77621" w:rsidRDefault="00042F70" w:rsidP="00C77621">
      <w:pPr>
        <w:pStyle w:val="DHHSbullet1"/>
        <w:numPr>
          <w:ilvl w:val="0"/>
          <w:numId w:val="0"/>
        </w:numPr>
      </w:pPr>
      <w:r w:rsidRPr="00042F70">
        <w:t xml:space="preserve">The </w:t>
      </w:r>
      <w:r w:rsidRPr="00880543">
        <w:rPr>
          <w:i/>
        </w:rPr>
        <w:t xml:space="preserve">Community Sports Infrastructure </w:t>
      </w:r>
      <w:r w:rsidR="00052167" w:rsidRPr="00880543">
        <w:rPr>
          <w:i/>
        </w:rPr>
        <w:t>Loans scheme</w:t>
      </w:r>
      <w:r w:rsidRPr="00042F70">
        <w:t xml:space="preserve"> can:</w:t>
      </w:r>
      <w:bookmarkEnd w:id="31"/>
      <w:bookmarkEnd w:id="32"/>
      <w:bookmarkEnd w:id="33"/>
    </w:p>
    <w:p w:rsidR="00042F70" w:rsidRPr="00042F70" w:rsidRDefault="00231288" w:rsidP="00042F70">
      <w:pPr>
        <w:pStyle w:val="DHHSbullet1"/>
      </w:pPr>
      <w:r>
        <w:t>F</w:t>
      </w:r>
      <w:r w:rsidR="002F6B35">
        <w:t>und 100 per cent</w:t>
      </w:r>
      <w:r w:rsidR="00042F70" w:rsidRPr="00042F70">
        <w:t xml:space="preserve"> of the total project cost</w:t>
      </w:r>
      <w:r>
        <w:t>.</w:t>
      </w:r>
    </w:p>
    <w:p w:rsidR="00042F70" w:rsidRDefault="00231288" w:rsidP="00042F70">
      <w:pPr>
        <w:pStyle w:val="DHHSbullet1"/>
      </w:pPr>
      <w:r>
        <w:t>B</w:t>
      </w:r>
      <w:r w:rsidR="00042F70" w:rsidRPr="00042F70">
        <w:t xml:space="preserve">e secured in conjunction with a government grant ensuring that any </w:t>
      </w:r>
      <w:r w:rsidR="00C37CA4">
        <w:t xml:space="preserve">grant </w:t>
      </w:r>
      <w:r w:rsidR="0057323F">
        <w:t>funding program</w:t>
      </w:r>
      <w:r w:rsidR="00042F70" w:rsidRPr="00042F70">
        <w:t xml:space="preserve"> ratios are </w:t>
      </w:r>
      <w:r w:rsidR="00C37CA4">
        <w:t xml:space="preserve">still </w:t>
      </w:r>
      <w:r w:rsidR="00042F70" w:rsidRPr="00042F70">
        <w:t>met</w:t>
      </w:r>
      <w:r w:rsidR="0057323F">
        <w:t xml:space="preserve"> with </w:t>
      </w:r>
      <w:r w:rsidR="00C37CA4">
        <w:t xml:space="preserve">the required </w:t>
      </w:r>
      <w:r w:rsidR="0057323F">
        <w:t>cash contributions</w:t>
      </w:r>
      <w:r w:rsidR="00355B55">
        <w:t>.</w:t>
      </w:r>
    </w:p>
    <w:p w:rsidR="002800F3" w:rsidRDefault="002800F3" w:rsidP="002800F3">
      <w:pPr>
        <w:pStyle w:val="DHHSbullet1"/>
        <w:numPr>
          <w:ilvl w:val="0"/>
          <w:numId w:val="0"/>
        </w:numPr>
      </w:pPr>
      <w:r>
        <w:t>The scheme encourage</w:t>
      </w:r>
      <w:r w:rsidR="00C75642">
        <w:t>s</w:t>
      </w:r>
      <w:r w:rsidRPr="00F02FD6">
        <w:t xml:space="preserve"> a collaborative approach to infrastructure delivery </w:t>
      </w:r>
      <w:r>
        <w:t>between a range o</w:t>
      </w:r>
      <w:r w:rsidR="00C75642">
        <w:t>f</w:t>
      </w:r>
      <w:r>
        <w:t xml:space="preserve"> partners that support community health and wellbeing. This may include commercial elements that support an organisation’s financial sustainability. </w:t>
      </w:r>
    </w:p>
    <w:p w:rsidR="005F1315" w:rsidRDefault="00414B56" w:rsidP="00042F70">
      <w:pPr>
        <w:pStyle w:val="Heading2"/>
      </w:pPr>
      <w:bookmarkStart w:id="35" w:name="_Toc518991280"/>
      <w:r>
        <w:t>2</w:t>
      </w:r>
      <w:r w:rsidR="005F1315">
        <w:t>.</w:t>
      </w:r>
      <w:r w:rsidR="00D2426C">
        <w:t>4</w:t>
      </w:r>
      <w:r w:rsidR="005F1315">
        <w:t xml:space="preserve"> </w:t>
      </w:r>
      <w:r w:rsidR="007D0D8E">
        <w:t xml:space="preserve"> </w:t>
      </w:r>
      <w:r w:rsidR="005F1315">
        <w:t xml:space="preserve">What types of projects </w:t>
      </w:r>
      <w:r>
        <w:t>will not</w:t>
      </w:r>
      <w:r w:rsidR="005F1315">
        <w:t xml:space="preserve"> be supported</w:t>
      </w:r>
      <w:r>
        <w:t>?</w:t>
      </w:r>
      <w:bookmarkEnd w:id="35"/>
    </w:p>
    <w:p w:rsidR="005F1315" w:rsidRDefault="005F1315" w:rsidP="005F1315">
      <w:pPr>
        <w:pStyle w:val="DHHSbody"/>
      </w:pPr>
      <w:r>
        <w:t xml:space="preserve">Projects that </w:t>
      </w:r>
      <w:r w:rsidR="00414B56">
        <w:t>will</w:t>
      </w:r>
      <w:r>
        <w:t xml:space="preserve"> </w:t>
      </w:r>
      <w:r w:rsidR="00414B56">
        <w:t xml:space="preserve">not </w:t>
      </w:r>
      <w:r>
        <w:t>be supported under the scheme include, but are not limited to:</w:t>
      </w:r>
    </w:p>
    <w:p w:rsidR="00691FA0" w:rsidRPr="00414B56" w:rsidRDefault="00231288" w:rsidP="00691FA0">
      <w:pPr>
        <w:pStyle w:val="DHHSbullet1"/>
      </w:pPr>
      <w:r>
        <w:t>F</w:t>
      </w:r>
      <w:r w:rsidR="00691FA0" w:rsidRPr="00414B56">
        <w:t>acilities where little or no public access is available</w:t>
      </w:r>
      <w:r>
        <w:t>.</w:t>
      </w:r>
    </w:p>
    <w:p w:rsidR="00414B56" w:rsidRPr="00414B56" w:rsidRDefault="00231288" w:rsidP="00414B56">
      <w:pPr>
        <w:pStyle w:val="DHHSbullet1"/>
      </w:pPr>
      <w:r>
        <w:t>P</w:t>
      </w:r>
      <w:r w:rsidR="00414B56" w:rsidRPr="00414B56">
        <w:t>urchase of land</w:t>
      </w:r>
      <w:r w:rsidR="00DC3EB5">
        <w:t xml:space="preserve"> or buildings</w:t>
      </w:r>
      <w:r>
        <w:t>.</w:t>
      </w:r>
    </w:p>
    <w:p w:rsidR="00414B56" w:rsidRPr="00414B56" w:rsidRDefault="00231288" w:rsidP="00414B56">
      <w:pPr>
        <w:pStyle w:val="DHHSbullet1"/>
      </w:pPr>
      <w:r>
        <w:t>R</w:t>
      </w:r>
      <w:r w:rsidR="00414B56" w:rsidRPr="00414B56">
        <w:t>equests for retrospective funding</w:t>
      </w:r>
      <w:r>
        <w:t>.</w:t>
      </w:r>
    </w:p>
    <w:p w:rsidR="00414B56" w:rsidRPr="00414B56" w:rsidRDefault="00231288" w:rsidP="00414B56">
      <w:pPr>
        <w:pStyle w:val="DHHSbullet1"/>
      </w:pPr>
      <w:r>
        <w:t>R</w:t>
      </w:r>
      <w:r w:rsidR="00414B56" w:rsidRPr="00414B56">
        <w:t>outine or cyclical maintenance works</w:t>
      </w:r>
      <w:r>
        <w:t>.</w:t>
      </w:r>
    </w:p>
    <w:p w:rsidR="00A75742" w:rsidRDefault="00231288" w:rsidP="00A75742">
      <w:pPr>
        <w:pStyle w:val="DHHSbullet1"/>
      </w:pPr>
      <w:r>
        <w:t>P</w:t>
      </w:r>
      <w:r w:rsidR="00A75742" w:rsidRPr="00A75742">
        <w:t xml:space="preserve">urchasing or maintaining </w:t>
      </w:r>
      <w:r w:rsidR="00A75742">
        <w:t>any equipment</w:t>
      </w:r>
      <w:r>
        <w:t>.</w:t>
      </w:r>
    </w:p>
    <w:p w:rsidR="00414B56" w:rsidRPr="00414B56" w:rsidRDefault="00231288" w:rsidP="00414B56">
      <w:pPr>
        <w:pStyle w:val="DHHSbullet1"/>
      </w:pPr>
      <w:r>
        <w:t>R</w:t>
      </w:r>
      <w:r w:rsidR="00414B56" w:rsidRPr="00414B56">
        <w:t>equests for ongoing operational costs such as, but not limited to, salaries, electricity, water, asset maintenance and other utilities</w:t>
      </w:r>
      <w:r>
        <w:t>.</w:t>
      </w:r>
    </w:p>
    <w:p w:rsidR="00414B56" w:rsidRPr="00F64379" w:rsidRDefault="00231288" w:rsidP="00414B56">
      <w:pPr>
        <w:pStyle w:val="DHHSbullet1"/>
        <w:rPr>
          <w:b/>
        </w:rPr>
      </w:pPr>
      <w:r>
        <w:t>R</w:t>
      </w:r>
      <w:r w:rsidR="00414B56" w:rsidRPr="00414B56">
        <w:t>equest</w:t>
      </w:r>
      <w:r w:rsidR="00C75642">
        <w:t>s for</w:t>
      </w:r>
      <w:r w:rsidR="00414B56" w:rsidRPr="00414B56">
        <w:t xml:space="preserve"> multiple loans </w:t>
      </w:r>
      <w:r w:rsidR="0057323F">
        <w:t>for a single project</w:t>
      </w:r>
      <w:r>
        <w:t>.</w:t>
      </w:r>
    </w:p>
    <w:p w:rsidR="0057323F" w:rsidRPr="00EF1F07" w:rsidRDefault="00231288" w:rsidP="0057323F">
      <w:pPr>
        <w:pStyle w:val="DHHSbullet1"/>
        <w:rPr>
          <w:b/>
        </w:rPr>
      </w:pPr>
      <w:r>
        <w:t>A</w:t>
      </w:r>
      <w:r w:rsidR="00F64379">
        <w:t>pplications to refinance an existing loan or borrowing</w:t>
      </w:r>
      <w:r w:rsidR="0057323F">
        <w:t>s</w:t>
      </w:r>
      <w:r>
        <w:t>.</w:t>
      </w:r>
    </w:p>
    <w:p w:rsidR="001513FE" w:rsidRPr="001513FE" w:rsidRDefault="00231288">
      <w:pPr>
        <w:pStyle w:val="DHHSbullet1"/>
        <w:rPr>
          <w:b/>
        </w:rPr>
      </w:pPr>
      <w:r>
        <w:t>P</w:t>
      </w:r>
      <w:r w:rsidR="001513FE">
        <w:t>rojects that are not able to demonstrate a reasonable likelihood of being able to pay the loan.</w:t>
      </w:r>
    </w:p>
    <w:p w:rsidR="003D13E4" w:rsidRPr="00CC15CE" w:rsidRDefault="003D13E4" w:rsidP="003D13E4">
      <w:pPr>
        <w:pStyle w:val="Heading1"/>
      </w:pPr>
      <w:bookmarkStart w:id="36" w:name="_Toc518991281"/>
      <w:r>
        <w:t>3. Loan Application</w:t>
      </w:r>
      <w:bookmarkEnd w:id="36"/>
      <w:r>
        <w:t xml:space="preserve"> </w:t>
      </w:r>
    </w:p>
    <w:p w:rsidR="003D13E4" w:rsidRPr="003C4C5F" w:rsidRDefault="003D13E4" w:rsidP="003D13E4">
      <w:pPr>
        <w:pStyle w:val="Heading2"/>
      </w:pPr>
      <w:bookmarkStart w:id="37" w:name="_Toc518991282"/>
      <w:r>
        <w:t xml:space="preserve">3.1  </w:t>
      </w:r>
      <w:r w:rsidR="00DA2CC0">
        <w:t>What information is required in an</w:t>
      </w:r>
      <w:r w:rsidR="006460D9">
        <w:t xml:space="preserve"> application?</w:t>
      </w:r>
      <w:bookmarkEnd w:id="37"/>
    </w:p>
    <w:p w:rsidR="001E047C" w:rsidRDefault="001E047C" w:rsidP="00355B55">
      <w:pPr>
        <w:pStyle w:val="DHHSbody"/>
      </w:pPr>
      <w:r>
        <w:t>Applications will consist of three components</w:t>
      </w:r>
      <w:r w:rsidR="00A3511C">
        <w:t>. All components must be provided in order for an application to be deemed eligible for assessment. These include</w:t>
      </w:r>
      <w:r>
        <w:t>:</w:t>
      </w:r>
    </w:p>
    <w:p w:rsidR="001E047C" w:rsidRDefault="00D251D5" w:rsidP="001E047C">
      <w:pPr>
        <w:pStyle w:val="DHHSbody"/>
        <w:numPr>
          <w:ilvl w:val="0"/>
          <w:numId w:val="41"/>
        </w:numPr>
      </w:pPr>
      <w:r>
        <w:t>Loan application</w:t>
      </w:r>
      <w:r w:rsidR="00880543">
        <w:t xml:space="preserve"> form</w:t>
      </w:r>
    </w:p>
    <w:p w:rsidR="001E047C" w:rsidRDefault="00880543" w:rsidP="001E047C">
      <w:pPr>
        <w:pStyle w:val="DHHSbody"/>
        <w:numPr>
          <w:ilvl w:val="0"/>
          <w:numId w:val="41"/>
        </w:numPr>
      </w:pPr>
      <w:r>
        <w:t>Business case</w:t>
      </w:r>
    </w:p>
    <w:p w:rsidR="001E047C" w:rsidRDefault="001E047C" w:rsidP="001E047C">
      <w:pPr>
        <w:pStyle w:val="DHHSbody"/>
        <w:numPr>
          <w:ilvl w:val="0"/>
          <w:numId w:val="41"/>
        </w:numPr>
      </w:pPr>
      <w:r>
        <w:t>Supporting documentation</w:t>
      </w:r>
    </w:p>
    <w:p w:rsidR="00A3511C" w:rsidRPr="00A3511C" w:rsidRDefault="00051838" w:rsidP="00A3511C">
      <w:pPr>
        <w:pStyle w:val="DHHStablecolhead"/>
      </w:pPr>
      <w:r>
        <w:t>Loan A</w:t>
      </w:r>
      <w:r w:rsidR="00D251D5" w:rsidRPr="00D251D5">
        <w:t xml:space="preserve">pplication </w:t>
      </w:r>
      <w:r w:rsidR="00A3511C" w:rsidRPr="00A3511C">
        <w:t>Form</w:t>
      </w:r>
    </w:p>
    <w:p w:rsidR="001E047C" w:rsidRPr="001E047C" w:rsidRDefault="00A3511C" w:rsidP="001E047C">
      <w:pPr>
        <w:pStyle w:val="DHHSbody"/>
      </w:pPr>
      <w:r>
        <w:t xml:space="preserve">A </w:t>
      </w:r>
      <w:r w:rsidR="00D251D5">
        <w:t>loan application</w:t>
      </w:r>
      <w:r>
        <w:t xml:space="preserve"> form will </w:t>
      </w:r>
      <w:r w:rsidR="002C0DD6">
        <w:t>seek/include</w:t>
      </w:r>
      <w:r>
        <w:t xml:space="preserve"> </w:t>
      </w:r>
      <w:r w:rsidR="00D251D5">
        <w:t xml:space="preserve">basic applicant, loan </w:t>
      </w:r>
      <w:r w:rsidR="006F7257">
        <w:t xml:space="preserve">and project details. </w:t>
      </w:r>
      <w:r w:rsidR="00D251D5">
        <w:t xml:space="preserve">The loan application form </w:t>
      </w:r>
      <w:r>
        <w:t xml:space="preserve">can be downloaded at </w:t>
      </w:r>
      <w:hyperlink r:id="rId15" w:history="1">
        <w:r w:rsidRPr="00BD02E5">
          <w:rPr>
            <w:rStyle w:val="Hyperlink"/>
          </w:rPr>
          <w:t>www.sports.vic.gov.au/loans</w:t>
        </w:r>
      </w:hyperlink>
      <w:r>
        <w:t>.</w:t>
      </w:r>
    </w:p>
    <w:p w:rsidR="00A3511C" w:rsidRPr="00A3511C" w:rsidRDefault="00A3511C" w:rsidP="00A3511C">
      <w:pPr>
        <w:pStyle w:val="DHHStablecolhead"/>
      </w:pPr>
      <w:r w:rsidRPr="00A3511C">
        <w:t>Business Case</w:t>
      </w:r>
    </w:p>
    <w:p w:rsidR="00B47291" w:rsidRPr="00AB65CE" w:rsidRDefault="00A3511C" w:rsidP="001E047C">
      <w:pPr>
        <w:pStyle w:val="DHHSbody"/>
      </w:pPr>
      <w:r>
        <w:t>All a</w:t>
      </w:r>
      <w:r w:rsidR="00B47291" w:rsidRPr="00AB65CE">
        <w:t xml:space="preserve">pplicants will be required to submit a business </w:t>
      </w:r>
      <w:r w:rsidR="00355B55">
        <w:t>case</w:t>
      </w:r>
      <w:r w:rsidR="00B47291" w:rsidRPr="00AB65CE">
        <w:t xml:space="preserve"> which </w:t>
      </w:r>
      <w:r w:rsidR="00355B55">
        <w:t xml:space="preserve">aligns strongly with the </w:t>
      </w:r>
      <w:r w:rsidR="00B47291">
        <w:t>objectives of the scheme</w:t>
      </w:r>
      <w:r w:rsidR="00355B55">
        <w:t xml:space="preserve"> and addresses the following</w:t>
      </w:r>
      <w:r w:rsidR="002C0DD6">
        <w:t>:</w:t>
      </w:r>
    </w:p>
    <w:p w:rsidR="003D13E4" w:rsidRDefault="00AB65CE" w:rsidP="00AB65CE">
      <w:pPr>
        <w:pStyle w:val="DHHSbullet1"/>
      </w:pPr>
      <w:r>
        <w:t>Project Justification</w:t>
      </w:r>
    </w:p>
    <w:p w:rsidR="00794E04" w:rsidRDefault="00794E04" w:rsidP="00AB65CE">
      <w:pPr>
        <w:pStyle w:val="DHHSbullet2"/>
        <w:ind w:left="709"/>
      </w:pPr>
      <w:r>
        <w:t>Background</w:t>
      </w:r>
      <w:r w:rsidR="002C0DD6">
        <w:t xml:space="preserve"> / rationale</w:t>
      </w:r>
    </w:p>
    <w:p w:rsidR="00794E04" w:rsidRDefault="00794E04" w:rsidP="00AB65CE">
      <w:pPr>
        <w:pStyle w:val="DHHSbullet2"/>
        <w:ind w:left="709"/>
      </w:pPr>
      <w:r>
        <w:lastRenderedPageBreak/>
        <w:t>Current</w:t>
      </w:r>
      <w:r w:rsidR="0057323F">
        <w:t xml:space="preserve"> and proposed </w:t>
      </w:r>
      <w:r>
        <w:t>facility use</w:t>
      </w:r>
    </w:p>
    <w:p w:rsidR="00794E04" w:rsidRDefault="00794E04" w:rsidP="00AB65CE">
      <w:pPr>
        <w:pStyle w:val="DHHSbullet2"/>
        <w:ind w:left="709"/>
      </w:pPr>
      <w:r>
        <w:t>Strategic alignment</w:t>
      </w:r>
      <w:r w:rsidR="002C0DD6">
        <w:t xml:space="preserve"> with Active Victoria </w:t>
      </w:r>
    </w:p>
    <w:p w:rsidR="00AB65CE" w:rsidRDefault="002C0DD6" w:rsidP="00AB65CE">
      <w:pPr>
        <w:pStyle w:val="DHHSbullet2"/>
        <w:ind w:left="709"/>
      </w:pPr>
      <w:r>
        <w:t>Land owner, s</w:t>
      </w:r>
      <w:r w:rsidR="00794E04">
        <w:t>takeholder and community support</w:t>
      </w:r>
      <w:r w:rsidR="00794E04">
        <w:tab/>
      </w:r>
    </w:p>
    <w:p w:rsidR="00794E04" w:rsidRDefault="00794E04" w:rsidP="00AB65CE">
      <w:pPr>
        <w:pStyle w:val="DHHSbullet1"/>
      </w:pPr>
      <w:r>
        <w:t>Project Delivery</w:t>
      </w:r>
    </w:p>
    <w:p w:rsidR="00AB65CE" w:rsidRDefault="00844A9D" w:rsidP="00794E04">
      <w:pPr>
        <w:pStyle w:val="DHHSbullet2"/>
        <w:ind w:left="709"/>
      </w:pPr>
      <w:r>
        <w:t>Tendering and project development</w:t>
      </w:r>
    </w:p>
    <w:p w:rsidR="00AB65CE" w:rsidRDefault="00794E04" w:rsidP="00794E04">
      <w:pPr>
        <w:pStyle w:val="DHHSbullet2"/>
        <w:ind w:left="709"/>
      </w:pPr>
      <w:r>
        <w:t>Expected outcomes and benefits</w:t>
      </w:r>
    </w:p>
    <w:p w:rsidR="00794E04" w:rsidRDefault="002C0DD6" w:rsidP="00794E04">
      <w:pPr>
        <w:pStyle w:val="DHHSbullet2"/>
        <w:ind w:left="709"/>
      </w:pPr>
      <w:r>
        <w:t>Demonstrated long-</w:t>
      </w:r>
      <w:r w:rsidR="00794E04">
        <w:t xml:space="preserve">term </w:t>
      </w:r>
      <w:r>
        <w:t xml:space="preserve">facility </w:t>
      </w:r>
      <w:r w:rsidR="00794E04">
        <w:t xml:space="preserve">tenure </w:t>
      </w:r>
      <w:r>
        <w:t>and public access</w:t>
      </w:r>
    </w:p>
    <w:p w:rsidR="003D13E4" w:rsidRDefault="00794E04" w:rsidP="003D13E4">
      <w:pPr>
        <w:pStyle w:val="DHHSbullet2"/>
        <w:ind w:left="709"/>
      </w:pPr>
      <w:r>
        <w:t>Facility management</w:t>
      </w:r>
      <w:r w:rsidR="002C0DD6">
        <w:t xml:space="preserve"> and organisational governance</w:t>
      </w:r>
    </w:p>
    <w:p w:rsidR="00794E04" w:rsidRDefault="00794E04" w:rsidP="00794E04">
      <w:pPr>
        <w:pStyle w:val="DHHSbullet1"/>
      </w:pPr>
      <w:r>
        <w:t>Financial Information</w:t>
      </w:r>
    </w:p>
    <w:p w:rsidR="00437260" w:rsidRDefault="00096960" w:rsidP="00437260">
      <w:pPr>
        <w:pStyle w:val="DHHSbullet2"/>
        <w:ind w:left="709"/>
      </w:pPr>
      <w:r>
        <w:t>Loan request d</w:t>
      </w:r>
      <w:r w:rsidR="00437260">
        <w:t>etails</w:t>
      </w:r>
    </w:p>
    <w:p w:rsidR="00437260" w:rsidRDefault="00437260" w:rsidP="00437260">
      <w:pPr>
        <w:pStyle w:val="DHHSbullet2"/>
        <w:ind w:left="709"/>
      </w:pPr>
      <w:r>
        <w:t>Project budget and financial contributions</w:t>
      </w:r>
    </w:p>
    <w:p w:rsidR="00794E04" w:rsidRDefault="00437260" w:rsidP="00794E04">
      <w:pPr>
        <w:pStyle w:val="DHHSbullet2"/>
        <w:ind w:left="709"/>
      </w:pPr>
      <w:r>
        <w:t>Financial impact of new infrastructure</w:t>
      </w:r>
    </w:p>
    <w:p w:rsidR="003F2007" w:rsidRDefault="00096960" w:rsidP="00437260">
      <w:pPr>
        <w:pStyle w:val="DHHSbullet2"/>
        <w:ind w:left="709"/>
      </w:pPr>
      <w:r>
        <w:t xml:space="preserve">Financial </w:t>
      </w:r>
      <w:r w:rsidR="002C0DD6">
        <w:t>sustainability of organisation</w:t>
      </w:r>
    </w:p>
    <w:p w:rsidR="001513FE" w:rsidRDefault="001513FE">
      <w:pPr>
        <w:pStyle w:val="DHHSbullet2"/>
        <w:ind w:left="709"/>
      </w:pPr>
      <w:r>
        <w:t>Ability to service the loan</w:t>
      </w:r>
    </w:p>
    <w:p w:rsidR="00794E04" w:rsidRDefault="00844A9D" w:rsidP="00844A9D">
      <w:pPr>
        <w:pStyle w:val="DHHSbody"/>
      </w:pPr>
      <w:r w:rsidRPr="00844A9D">
        <w:t>A</w:t>
      </w:r>
      <w:r w:rsidR="00A3511C">
        <w:t>n example</w:t>
      </w:r>
      <w:r w:rsidRPr="00844A9D">
        <w:t xml:space="preserve"> business </w:t>
      </w:r>
      <w:r w:rsidR="00691FA0">
        <w:t>case</w:t>
      </w:r>
      <w:r w:rsidRPr="00844A9D">
        <w:t xml:space="preserve"> template </w:t>
      </w:r>
      <w:r>
        <w:t xml:space="preserve">can be downloaded at </w:t>
      </w:r>
      <w:hyperlink r:id="rId16" w:history="1">
        <w:r w:rsidR="00C04C11" w:rsidRPr="00BB6DC1">
          <w:rPr>
            <w:rStyle w:val="Hyperlink"/>
          </w:rPr>
          <w:t>www.sport.vic.gov.au/loans</w:t>
        </w:r>
      </w:hyperlink>
      <w:r w:rsidR="00C04C11">
        <w:rPr>
          <w:rStyle w:val="Hyperlink"/>
        </w:rPr>
        <w:t xml:space="preserve"> </w:t>
      </w:r>
      <w:r>
        <w:t xml:space="preserve">that </w:t>
      </w:r>
      <w:r w:rsidR="00C55ED9">
        <w:t>may assist applicants address the</w:t>
      </w:r>
      <w:r w:rsidRPr="00844A9D">
        <w:t xml:space="preserve"> </w:t>
      </w:r>
      <w:r>
        <w:t>r</w:t>
      </w:r>
      <w:r w:rsidRPr="00844A9D">
        <w:t xml:space="preserve">equired </w:t>
      </w:r>
      <w:r w:rsidR="00C55ED9">
        <w:t>information</w:t>
      </w:r>
      <w:r w:rsidRPr="00844A9D">
        <w:t>.</w:t>
      </w:r>
    </w:p>
    <w:p w:rsidR="00A3511C" w:rsidRPr="00A3511C" w:rsidRDefault="00A3511C" w:rsidP="00A3511C">
      <w:pPr>
        <w:pStyle w:val="DHHStablecolhead"/>
      </w:pPr>
      <w:r w:rsidRPr="00A3511C">
        <w:t>Supporting Documentation</w:t>
      </w:r>
    </w:p>
    <w:p w:rsidR="00355B55" w:rsidRDefault="00355B55" w:rsidP="00844A9D">
      <w:pPr>
        <w:pStyle w:val="DHHSbody"/>
      </w:pPr>
      <w:r>
        <w:t>Applications will be required to provide documentation to support</w:t>
      </w:r>
      <w:r w:rsidR="00096960">
        <w:t xml:space="preserve"> their business case</w:t>
      </w:r>
      <w:r w:rsidR="00A3511C">
        <w:t xml:space="preserve"> and demonstrate financial </w:t>
      </w:r>
      <w:r w:rsidR="00A3511C" w:rsidRPr="00A3511C">
        <w:t>viability, security and capacity to repay</w:t>
      </w:r>
      <w:r w:rsidR="00096960">
        <w:t>. This includes:</w:t>
      </w:r>
    </w:p>
    <w:p w:rsidR="00096960" w:rsidRPr="00096960" w:rsidRDefault="00231288" w:rsidP="00096960">
      <w:pPr>
        <w:pStyle w:val="DHHSbullet1"/>
      </w:pPr>
      <w:r>
        <w:t>S</w:t>
      </w:r>
      <w:r w:rsidR="0057323F">
        <w:t>chematic plans or detailed area schedules for prefab / modular projects</w:t>
      </w:r>
      <w:r>
        <w:t>.</w:t>
      </w:r>
    </w:p>
    <w:p w:rsidR="00096960" w:rsidRPr="00096960" w:rsidRDefault="00231288" w:rsidP="00096960">
      <w:pPr>
        <w:pStyle w:val="DHHSbullet1"/>
      </w:pPr>
      <w:r>
        <w:t>Q</w:t>
      </w:r>
      <w:r w:rsidR="00096960" w:rsidRPr="00096960">
        <w:t xml:space="preserve">uantity survey or tender price </w:t>
      </w:r>
      <w:r w:rsidR="0057323F">
        <w:t>is</w:t>
      </w:r>
      <w:r w:rsidR="00096960" w:rsidRPr="00096960">
        <w:t xml:space="preserve"> required</w:t>
      </w:r>
      <w:r>
        <w:t>.</w:t>
      </w:r>
    </w:p>
    <w:p w:rsidR="00096960" w:rsidRDefault="00231288" w:rsidP="00096960">
      <w:pPr>
        <w:pStyle w:val="DHHSbullet1"/>
      </w:pPr>
      <w:r>
        <w:t>E</w:t>
      </w:r>
      <w:r w:rsidR="00096960" w:rsidRPr="00096960">
        <w:t xml:space="preserve">vidence of </w:t>
      </w:r>
      <w:r w:rsidR="0057323F">
        <w:t xml:space="preserve">other </w:t>
      </w:r>
      <w:r w:rsidR="00096960" w:rsidRPr="00096960">
        <w:t>confirmed funding contributions</w:t>
      </w:r>
      <w:r>
        <w:t>.</w:t>
      </w:r>
    </w:p>
    <w:p w:rsidR="001D0BA7" w:rsidRDefault="00231288" w:rsidP="001D0BA7">
      <w:pPr>
        <w:pStyle w:val="DHHSbullet1"/>
      </w:pPr>
      <w:r>
        <w:t>E</w:t>
      </w:r>
      <w:r w:rsidR="002C0DD6">
        <w:t>vidence of long-</w:t>
      </w:r>
      <w:r w:rsidR="001D0BA7" w:rsidRPr="001D0BA7">
        <w:t xml:space="preserve">term community access </w:t>
      </w:r>
      <w:r w:rsidR="00C75642">
        <w:t>arrangement</w:t>
      </w:r>
      <w:r w:rsidR="005310B1">
        <w:t>s</w:t>
      </w:r>
      <w:r w:rsidR="00C75642" w:rsidRPr="001D0BA7">
        <w:t xml:space="preserve"> </w:t>
      </w:r>
      <w:r w:rsidR="001D0BA7" w:rsidRPr="001D0BA7">
        <w:t>that extends to the life of the loan as a minim</w:t>
      </w:r>
      <w:r w:rsidR="00846F95">
        <w:t>um, with a preferred duration for</w:t>
      </w:r>
      <w:r w:rsidR="001D0BA7" w:rsidRPr="001D0BA7">
        <w:t xml:space="preserve"> the life of the facility</w:t>
      </w:r>
      <w:r>
        <w:t>.</w:t>
      </w:r>
    </w:p>
    <w:p w:rsidR="00096960" w:rsidRPr="00096960" w:rsidRDefault="00231288" w:rsidP="001D0BA7">
      <w:pPr>
        <w:pStyle w:val="DHHSbullet1"/>
      </w:pPr>
      <w:r>
        <w:t>A</w:t>
      </w:r>
      <w:r w:rsidR="00096960" w:rsidRPr="00096960">
        <w:t>ny additional business or feasibility planning documents</w:t>
      </w:r>
      <w:r>
        <w:t>.</w:t>
      </w:r>
    </w:p>
    <w:p w:rsidR="00096960" w:rsidRPr="00096960" w:rsidRDefault="00231288" w:rsidP="00096960">
      <w:pPr>
        <w:pStyle w:val="DHHSbullet1"/>
      </w:pPr>
      <w:r>
        <w:t>E</w:t>
      </w:r>
      <w:r w:rsidR="00096960" w:rsidRPr="00096960">
        <w:t xml:space="preserve">vidence of </w:t>
      </w:r>
      <w:r w:rsidR="002C0DD6">
        <w:t>land owner</w:t>
      </w:r>
      <w:r w:rsidR="00C75642">
        <w:t>,</w:t>
      </w:r>
      <w:r w:rsidR="002C0DD6">
        <w:t xml:space="preserve"> </w:t>
      </w:r>
      <w:r w:rsidR="00096960" w:rsidRPr="00096960">
        <w:t>stakeholder and community consultation</w:t>
      </w:r>
      <w:r w:rsidR="00691FA0">
        <w:t xml:space="preserve"> and support</w:t>
      </w:r>
      <w:r>
        <w:t>.</w:t>
      </w:r>
    </w:p>
    <w:p w:rsidR="00096960" w:rsidRDefault="00231288" w:rsidP="00096960">
      <w:pPr>
        <w:pStyle w:val="DHHSbullet1"/>
      </w:pPr>
      <w:r>
        <w:t>F</w:t>
      </w:r>
      <w:r w:rsidR="00096960" w:rsidRPr="00096960">
        <w:t>acility Management Plan</w:t>
      </w:r>
      <w:r w:rsidR="002F6B35">
        <w:t xml:space="preserve"> </w:t>
      </w:r>
      <w:r w:rsidR="002C0DD6">
        <w:t>/</w:t>
      </w:r>
      <w:r w:rsidR="002F6B35">
        <w:t xml:space="preserve"> </w:t>
      </w:r>
      <w:r w:rsidR="002C0DD6">
        <w:t>Schedule of U</w:t>
      </w:r>
      <w:r w:rsidR="00691FA0">
        <w:t>se</w:t>
      </w:r>
      <w:r>
        <w:t>.</w:t>
      </w:r>
    </w:p>
    <w:p w:rsidR="006177FE" w:rsidRPr="006177FE" w:rsidRDefault="00231288" w:rsidP="006177FE">
      <w:pPr>
        <w:pStyle w:val="DHHSbullet1"/>
      </w:pPr>
      <w:r>
        <w:t>A</w:t>
      </w:r>
      <w:r w:rsidR="006177FE" w:rsidRPr="006177FE">
        <w:t>udited financial statements for the previous three years</w:t>
      </w:r>
      <w:r>
        <w:t>.</w:t>
      </w:r>
    </w:p>
    <w:p w:rsidR="006177FE" w:rsidRPr="006177FE" w:rsidRDefault="00231288" w:rsidP="006177FE">
      <w:pPr>
        <w:pStyle w:val="DHHSbullet1"/>
      </w:pPr>
      <w:r>
        <w:t>E</w:t>
      </w:r>
      <w:r w:rsidR="006177FE" w:rsidRPr="006177FE">
        <w:t>stimated financial statements for the next five years</w:t>
      </w:r>
      <w:r>
        <w:t>.</w:t>
      </w:r>
    </w:p>
    <w:p w:rsidR="006177FE" w:rsidRDefault="00231288" w:rsidP="006177FE">
      <w:pPr>
        <w:pStyle w:val="DHHSbullet1"/>
      </w:pPr>
      <w:r>
        <w:t>P</w:t>
      </w:r>
      <w:r w:rsidR="001513FE">
        <w:t>rojected c</w:t>
      </w:r>
      <w:r w:rsidR="001513FE" w:rsidRPr="006177FE">
        <w:t xml:space="preserve">ash flow forecast </w:t>
      </w:r>
      <w:r w:rsidR="001513FE">
        <w:t>(including project related capital, operating and maintenance costs) demonstrating a capacity to repay the loan, without further borrowing, under various interest rates and other scenarios</w:t>
      </w:r>
      <w:r>
        <w:t>.</w:t>
      </w:r>
    </w:p>
    <w:p w:rsidR="00846F95" w:rsidRDefault="00231288" w:rsidP="00846F95">
      <w:pPr>
        <w:pStyle w:val="DHHSbullet1"/>
      </w:pPr>
      <w:r>
        <w:t>E</w:t>
      </w:r>
      <w:r w:rsidR="001A7AFD">
        <w:t xml:space="preserve">vidence of </w:t>
      </w:r>
      <w:r w:rsidR="00846F95">
        <w:t xml:space="preserve">security for the loan in </w:t>
      </w:r>
      <w:r w:rsidR="00C75642">
        <w:t xml:space="preserve">the </w:t>
      </w:r>
      <w:r w:rsidR="00846F95">
        <w:t>form of assets or significant and</w:t>
      </w:r>
      <w:r w:rsidR="00DD161A">
        <w:t xml:space="preserve"> consistent cash flow surpluses.</w:t>
      </w:r>
    </w:p>
    <w:p w:rsidR="00DA2CC0" w:rsidRPr="003C4C5F" w:rsidRDefault="00DA2CC0" w:rsidP="00DA2CC0">
      <w:pPr>
        <w:pStyle w:val="Heading2"/>
      </w:pPr>
      <w:bookmarkStart w:id="38" w:name="_Toc518991283"/>
      <w:r>
        <w:t>3.3  How do I submit my application?</w:t>
      </w:r>
      <w:bookmarkEnd w:id="38"/>
    </w:p>
    <w:p w:rsidR="00DA2CC0" w:rsidRDefault="006F7257" w:rsidP="00DA2CC0">
      <w:pPr>
        <w:pStyle w:val="DHHSbody"/>
      </w:pPr>
      <w:r>
        <w:t xml:space="preserve">Applicants are required to submit their </w:t>
      </w:r>
      <w:r w:rsidR="00D251D5">
        <w:t>loan application form</w:t>
      </w:r>
      <w:r>
        <w:t xml:space="preserve">, business case and supporting documentation to </w:t>
      </w:r>
      <w:hyperlink r:id="rId17" w:history="1">
        <w:r w:rsidRPr="00BD02E5">
          <w:rPr>
            <w:rStyle w:val="Hyperlink"/>
          </w:rPr>
          <w:t>loans@sport.vic.gov.au</w:t>
        </w:r>
      </w:hyperlink>
    </w:p>
    <w:p w:rsidR="006F7257" w:rsidRDefault="006F7257" w:rsidP="006F7257">
      <w:pPr>
        <w:pStyle w:val="DHHSbody"/>
      </w:pPr>
      <w:r>
        <w:t xml:space="preserve">All applications and additional documentation must be submitted prior to </w:t>
      </w:r>
      <w:r w:rsidRPr="006F7257">
        <w:rPr>
          <w:b/>
        </w:rPr>
        <w:t>11.59 pm on Friday 31 August 2018</w:t>
      </w:r>
      <w:r>
        <w:t xml:space="preserve">. </w:t>
      </w:r>
    </w:p>
    <w:p w:rsidR="006F7257" w:rsidRDefault="006F7257" w:rsidP="00DA2CC0">
      <w:pPr>
        <w:pStyle w:val="DHHSbody"/>
      </w:pPr>
      <w:r>
        <w:t>The following working day, you will</w:t>
      </w:r>
      <w:r w:rsidRPr="006F7257">
        <w:t xml:space="preserve"> receive a confirmation email notifying you</w:t>
      </w:r>
      <w:r>
        <w:t xml:space="preserve"> of </w:t>
      </w:r>
      <w:r w:rsidR="002C0DD6">
        <w:t>receipt of the application</w:t>
      </w:r>
      <w:r>
        <w:t xml:space="preserve">. </w:t>
      </w:r>
    </w:p>
    <w:p w:rsidR="008E7EDA" w:rsidRPr="002C3C6F" w:rsidRDefault="00DA2CC0" w:rsidP="00414B56">
      <w:pPr>
        <w:pStyle w:val="Heading2"/>
      </w:pPr>
      <w:bookmarkStart w:id="39" w:name="_Toc518991284"/>
      <w:r>
        <w:lastRenderedPageBreak/>
        <w:t xml:space="preserve">3.4  </w:t>
      </w:r>
      <w:r w:rsidR="008E7EDA" w:rsidRPr="002C3C6F">
        <w:t xml:space="preserve">How </w:t>
      </w:r>
      <w:r w:rsidR="003D13E4">
        <w:t xml:space="preserve">are </w:t>
      </w:r>
      <w:r w:rsidR="00643718">
        <w:t>applications</w:t>
      </w:r>
      <w:r w:rsidR="003D13E4">
        <w:t xml:space="preserve"> assessed</w:t>
      </w:r>
      <w:r w:rsidR="008E7EDA" w:rsidRPr="002C3C6F">
        <w:t>?</w:t>
      </w:r>
      <w:bookmarkEnd w:id="39"/>
    </w:p>
    <w:p w:rsidR="00D92941" w:rsidRDefault="00D92941" w:rsidP="00D92941">
      <w:pPr>
        <w:pStyle w:val="DHHSbody"/>
      </w:pPr>
      <w:r w:rsidRPr="002C3C6F">
        <w:t>Spor</w:t>
      </w:r>
      <w:r w:rsidR="00052167">
        <w:t xml:space="preserve">t and Recreation Victoria </w:t>
      </w:r>
      <w:r w:rsidR="00946EF9">
        <w:t>is</w:t>
      </w:r>
      <w:r w:rsidRPr="002C3C6F">
        <w:t xml:space="preserve"> administer</w:t>
      </w:r>
      <w:r w:rsidR="00946EF9">
        <w:t>ing</w:t>
      </w:r>
      <w:r w:rsidRPr="002C3C6F">
        <w:t xml:space="preserve"> the </w:t>
      </w:r>
      <w:r w:rsidRPr="00880543">
        <w:rPr>
          <w:i/>
        </w:rPr>
        <w:t>Communi</w:t>
      </w:r>
      <w:r w:rsidR="00052167" w:rsidRPr="00880543">
        <w:rPr>
          <w:i/>
        </w:rPr>
        <w:t>ty Sports Infrastructure Loans S</w:t>
      </w:r>
      <w:r w:rsidRPr="00880543">
        <w:rPr>
          <w:i/>
        </w:rPr>
        <w:t>cheme</w:t>
      </w:r>
      <w:r w:rsidRPr="002C3C6F">
        <w:t xml:space="preserve"> in collaboration with Department of Treasury and Finance and Local Government Victoria.</w:t>
      </w:r>
    </w:p>
    <w:p w:rsidR="009E780B" w:rsidRPr="002C3C6F" w:rsidRDefault="009E780B" w:rsidP="002C3C6F">
      <w:pPr>
        <w:pStyle w:val="DHHSbody"/>
      </w:pPr>
      <w:r w:rsidRPr="002C3C6F">
        <w:t xml:space="preserve">The broad process associated with the </w:t>
      </w:r>
      <w:r w:rsidR="003D13E4">
        <w:t>assessment of an application</w:t>
      </w:r>
      <w:r w:rsidRPr="002C3C6F">
        <w:t xml:space="preserve"> is as follows:</w:t>
      </w:r>
    </w:p>
    <w:p w:rsidR="009E780B" w:rsidRDefault="00052167" w:rsidP="009E780B">
      <w:pPr>
        <w:pStyle w:val="DHHSbullet1"/>
      </w:pPr>
      <w:r>
        <w:t>Sport and Recreation Victoria</w:t>
      </w:r>
      <w:r w:rsidR="009E780B">
        <w:t xml:space="preserve"> seek</w:t>
      </w:r>
      <w:r w:rsidR="00946EF9">
        <w:t>s</w:t>
      </w:r>
      <w:r w:rsidR="009E780B">
        <w:t xml:space="preserve"> and assess</w:t>
      </w:r>
      <w:r w:rsidR="00946EF9">
        <w:t>es</w:t>
      </w:r>
      <w:r w:rsidR="009E780B">
        <w:t xml:space="preserve"> applications from organisations in the </w:t>
      </w:r>
      <w:r w:rsidR="00DB520A">
        <w:t>form of</w:t>
      </w:r>
      <w:r w:rsidR="009E780B">
        <w:t xml:space="preserve"> a busines</w:t>
      </w:r>
      <w:r w:rsidR="00096960">
        <w:t>s case for the proposed project.</w:t>
      </w:r>
    </w:p>
    <w:p w:rsidR="009E780B" w:rsidRDefault="009E780B" w:rsidP="009E780B">
      <w:pPr>
        <w:pStyle w:val="DHHSbullet1"/>
      </w:pPr>
      <w:r>
        <w:t xml:space="preserve">If the project </w:t>
      </w:r>
      <w:r w:rsidR="00DB520A">
        <w:t xml:space="preserve">demonstrates strong alignment to the </w:t>
      </w:r>
      <w:r w:rsidR="00691FA0">
        <w:t>scheme</w:t>
      </w:r>
      <w:r w:rsidR="001A7AFD">
        <w:t>’s objectives</w:t>
      </w:r>
      <w:r>
        <w:t xml:space="preserve">, </w:t>
      </w:r>
      <w:r w:rsidR="00052167">
        <w:t xml:space="preserve">Sport and Recreation Victoria </w:t>
      </w:r>
      <w:r w:rsidR="0091569A">
        <w:t xml:space="preserve">will </w:t>
      </w:r>
      <w:r w:rsidR="00DB520A">
        <w:t xml:space="preserve">refer the project </w:t>
      </w:r>
      <w:r w:rsidR="00096960">
        <w:t xml:space="preserve">for financial analysis to </w:t>
      </w:r>
      <w:r w:rsidR="00946EF9">
        <w:t xml:space="preserve">the </w:t>
      </w:r>
      <w:r w:rsidR="00052167">
        <w:t>Department of Treasury and Finance</w:t>
      </w:r>
      <w:r w:rsidR="00096960">
        <w:t>.</w:t>
      </w:r>
    </w:p>
    <w:p w:rsidR="009E780B" w:rsidRDefault="00052167" w:rsidP="00DB520A">
      <w:pPr>
        <w:pStyle w:val="DHHSbullet1"/>
      </w:pPr>
      <w:r>
        <w:t xml:space="preserve">Department of Treasury and Finance </w:t>
      </w:r>
      <w:r w:rsidR="00DB520A">
        <w:t>will</w:t>
      </w:r>
      <w:r w:rsidR="009E780B">
        <w:t xml:space="preserve"> assess the </w:t>
      </w:r>
      <w:r w:rsidR="00DB520A" w:rsidRPr="00DB520A">
        <w:t>applicants’ financial viability</w:t>
      </w:r>
      <w:r w:rsidR="00A3511C">
        <w:t>,</w:t>
      </w:r>
      <w:r w:rsidR="00DB520A">
        <w:t xml:space="preserve"> </w:t>
      </w:r>
      <w:r w:rsidR="000A050B">
        <w:t>security and capacity to repay the loan and service the interest cost</w:t>
      </w:r>
      <w:r w:rsidR="009E780B">
        <w:t>.</w:t>
      </w:r>
    </w:p>
    <w:p w:rsidR="00DB520A" w:rsidRDefault="00DB520A" w:rsidP="00DB520A">
      <w:pPr>
        <w:pStyle w:val="DHHSbullet1"/>
      </w:pPr>
      <w:r w:rsidRPr="00DB520A">
        <w:t xml:space="preserve">Should an organisation meet the above criteria, </w:t>
      </w:r>
      <w:r w:rsidR="00052167">
        <w:t>Department of Treasury and Finance</w:t>
      </w:r>
      <w:r w:rsidR="00052167" w:rsidRPr="00DB520A">
        <w:t xml:space="preserve"> </w:t>
      </w:r>
      <w:r w:rsidRPr="00DB520A">
        <w:t xml:space="preserve">will recommend a </w:t>
      </w:r>
      <w:r>
        <w:t xml:space="preserve">state </w:t>
      </w:r>
      <w:r w:rsidRPr="00DB520A">
        <w:t>guarantee</w:t>
      </w:r>
      <w:r>
        <w:t>d</w:t>
      </w:r>
      <w:r w:rsidRPr="00DB520A">
        <w:t xml:space="preserve"> </w:t>
      </w:r>
      <w:r>
        <w:t>loan be given by</w:t>
      </w:r>
      <w:r w:rsidRPr="00DB520A">
        <w:t xml:space="preserve"> </w:t>
      </w:r>
      <w:r w:rsidR="00052167" w:rsidRPr="003D13E4">
        <w:t>Treasur</w:t>
      </w:r>
      <w:r w:rsidR="00052167">
        <w:t xml:space="preserve">y Corporation of Victoria </w:t>
      </w:r>
      <w:r w:rsidR="00096960">
        <w:t>to the successful applicant.</w:t>
      </w:r>
    </w:p>
    <w:p w:rsidR="003D13E4" w:rsidRDefault="003D13E4" w:rsidP="003D13E4">
      <w:pPr>
        <w:pStyle w:val="DHHSbullet1"/>
      </w:pPr>
      <w:r w:rsidRPr="003D13E4">
        <w:t xml:space="preserve">If the guarantee is approved, </w:t>
      </w:r>
      <w:r w:rsidR="00C75642">
        <w:t>the applicant will then enter into an agreement with Treasury Corporation of Victoria which will outline the terms and conditions of the loan.</w:t>
      </w:r>
      <w:r w:rsidR="000A050B">
        <w:t xml:space="preserve"> </w:t>
      </w:r>
    </w:p>
    <w:p w:rsidR="00C75642" w:rsidRDefault="0057323F" w:rsidP="003D13E4">
      <w:pPr>
        <w:pStyle w:val="DHHSbullet1"/>
      </w:pPr>
      <w:r>
        <w:t xml:space="preserve">Your organisation will </w:t>
      </w:r>
      <w:r w:rsidR="00946EF9">
        <w:t xml:space="preserve">also </w:t>
      </w:r>
      <w:r>
        <w:t>be required to sign an agreement with the Depart</w:t>
      </w:r>
      <w:r w:rsidR="00691FA0">
        <w:t>ment</w:t>
      </w:r>
      <w:r>
        <w:t xml:space="preserve"> of Health and Human Services that sets out community access expectations along with other obligations</w:t>
      </w:r>
      <w:r w:rsidR="00C75642">
        <w:t>, including timely delivery.</w:t>
      </w:r>
    </w:p>
    <w:p w:rsidR="0057323F" w:rsidRDefault="00C75642" w:rsidP="003D13E4">
      <w:pPr>
        <w:pStyle w:val="DHHSbullet1"/>
      </w:pPr>
      <w:r>
        <w:t>The Department of Health and Human Services will also support your project by providing expert advice and input to assist your development.</w:t>
      </w:r>
    </w:p>
    <w:p w:rsidR="00CB0C31" w:rsidRPr="00C47EA7" w:rsidRDefault="003D13E4" w:rsidP="00CB0C31">
      <w:pPr>
        <w:pStyle w:val="Heading1"/>
      </w:pPr>
      <w:bookmarkStart w:id="40" w:name="_Toc518991285"/>
      <w:r>
        <w:t>4</w:t>
      </w:r>
      <w:r w:rsidR="00CB0C31" w:rsidRPr="00D178E7">
        <w:t xml:space="preserve">. </w:t>
      </w:r>
      <w:r w:rsidR="00CB0C31" w:rsidRPr="00C47EA7">
        <w:t>Timelines</w:t>
      </w:r>
      <w:bookmarkEnd w:id="40"/>
    </w:p>
    <w:p w:rsidR="00CB0C31" w:rsidRPr="00355B55" w:rsidRDefault="00CB0C31" w:rsidP="00355B55">
      <w:pPr>
        <w:pStyle w:val="DHHSbody"/>
      </w:pPr>
      <w:r>
        <w:t xml:space="preserve">The </w:t>
      </w:r>
      <w:r w:rsidRPr="00880543">
        <w:rPr>
          <w:i/>
        </w:rPr>
        <w:t xml:space="preserve">Community Sports Infrastructure </w:t>
      </w:r>
      <w:r w:rsidR="00946EF9" w:rsidRPr="00880543">
        <w:rPr>
          <w:i/>
        </w:rPr>
        <w:t>Loans S</w:t>
      </w:r>
      <w:r w:rsidR="00052167" w:rsidRPr="00880543">
        <w:rPr>
          <w:i/>
        </w:rPr>
        <w:t>cheme</w:t>
      </w:r>
      <w:r>
        <w:t xml:space="preserve"> will administer its first round of loan applications within the following timelines.</w:t>
      </w:r>
    </w:p>
    <w:tbl>
      <w:tblPr>
        <w:tblW w:w="0" w:type="auto"/>
        <w:jc w:val="cente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4"/>
        <w:gridCol w:w="2933"/>
      </w:tblGrid>
      <w:tr w:rsidR="00CB0C31" w:rsidRPr="00FF6471" w:rsidTr="00766FC3">
        <w:trPr>
          <w:trHeight w:val="282"/>
          <w:jc w:val="center"/>
        </w:trPr>
        <w:tc>
          <w:tcPr>
            <w:tcW w:w="6644" w:type="dxa"/>
            <w:tcMar>
              <w:top w:w="113" w:type="dxa"/>
              <w:bottom w:w="113" w:type="dxa"/>
            </w:tcMar>
          </w:tcPr>
          <w:p w:rsidR="00CB0C31" w:rsidRPr="00766FC3" w:rsidRDefault="00052167" w:rsidP="008E7EDA">
            <w:pPr>
              <w:rPr>
                <w:rFonts w:ascii="Arial" w:hAnsi="Arial" w:cs="Arial"/>
                <w:b/>
                <w:bCs/>
                <w:szCs w:val="24"/>
              </w:rPr>
            </w:pPr>
            <w:r>
              <w:rPr>
                <w:rFonts w:ascii="Arial" w:hAnsi="Arial" w:cs="Arial"/>
                <w:b/>
                <w:bCs/>
                <w:szCs w:val="24"/>
              </w:rPr>
              <w:t>Loans scheme</w:t>
            </w:r>
            <w:r w:rsidR="00CB0C31" w:rsidRPr="00766FC3">
              <w:rPr>
                <w:rFonts w:ascii="Arial" w:hAnsi="Arial" w:cs="Arial"/>
                <w:b/>
                <w:bCs/>
                <w:szCs w:val="24"/>
              </w:rPr>
              <w:t xml:space="preserve"> applications open</w:t>
            </w:r>
          </w:p>
        </w:tc>
        <w:tc>
          <w:tcPr>
            <w:tcW w:w="2933" w:type="dxa"/>
          </w:tcPr>
          <w:p w:rsidR="00CB0C31" w:rsidRPr="00766FC3" w:rsidRDefault="00946EF9" w:rsidP="008E7EDA">
            <w:pPr>
              <w:rPr>
                <w:rFonts w:ascii="Arial" w:hAnsi="Arial" w:cs="Arial"/>
                <w:szCs w:val="24"/>
              </w:rPr>
            </w:pPr>
            <w:r>
              <w:rPr>
                <w:rFonts w:ascii="Arial" w:hAnsi="Arial" w:cs="Arial"/>
                <w:szCs w:val="24"/>
              </w:rPr>
              <w:t xml:space="preserve">Mid </w:t>
            </w:r>
            <w:r w:rsidR="00CB0C31" w:rsidRPr="00766FC3">
              <w:rPr>
                <w:rFonts w:ascii="Arial" w:hAnsi="Arial" w:cs="Arial"/>
                <w:szCs w:val="24"/>
              </w:rPr>
              <w:t>July 2018</w:t>
            </w:r>
          </w:p>
        </w:tc>
      </w:tr>
      <w:tr w:rsidR="00CB0C31" w:rsidRPr="00FF6471" w:rsidTr="00766FC3">
        <w:trPr>
          <w:trHeight w:val="282"/>
          <w:jc w:val="center"/>
        </w:trPr>
        <w:tc>
          <w:tcPr>
            <w:tcW w:w="6644" w:type="dxa"/>
            <w:tcMar>
              <w:top w:w="113" w:type="dxa"/>
              <w:bottom w:w="113" w:type="dxa"/>
            </w:tcMar>
          </w:tcPr>
          <w:p w:rsidR="00CB0C31" w:rsidRPr="00766FC3" w:rsidRDefault="00052167" w:rsidP="008E7EDA">
            <w:pPr>
              <w:rPr>
                <w:rFonts w:ascii="Arial" w:hAnsi="Arial" w:cs="Arial"/>
                <w:b/>
                <w:bCs/>
                <w:szCs w:val="24"/>
              </w:rPr>
            </w:pPr>
            <w:r>
              <w:rPr>
                <w:rFonts w:ascii="Arial" w:hAnsi="Arial" w:cs="Arial"/>
                <w:b/>
                <w:bCs/>
                <w:szCs w:val="24"/>
              </w:rPr>
              <w:t>Loans scheme</w:t>
            </w:r>
            <w:r w:rsidR="00CB0C31" w:rsidRPr="00766FC3">
              <w:rPr>
                <w:rFonts w:ascii="Arial" w:hAnsi="Arial" w:cs="Arial"/>
                <w:b/>
                <w:bCs/>
                <w:szCs w:val="24"/>
              </w:rPr>
              <w:t xml:space="preserve"> applications close</w:t>
            </w:r>
          </w:p>
        </w:tc>
        <w:tc>
          <w:tcPr>
            <w:tcW w:w="2933" w:type="dxa"/>
            <w:tcMar>
              <w:top w:w="113" w:type="dxa"/>
              <w:bottom w:w="113" w:type="dxa"/>
            </w:tcMar>
          </w:tcPr>
          <w:p w:rsidR="00CB0C31" w:rsidRPr="00766FC3" w:rsidRDefault="00CB0C31" w:rsidP="008E7EDA">
            <w:pPr>
              <w:rPr>
                <w:rFonts w:ascii="Arial" w:hAnsi="Arial" w:cs="Arial"/>
                <w:szCs w:val="24"/>
              </w:rPr>
            </w:pPr>
            <w:r w:rsidRPr="00766FC3">
              <w:rPr>
                <w:rFonts w:ascii="Arial" w:hAnsi="Arial" w:cs="Arial"/>
                <w:szCs w:val="24"/>
              </w:rPr>
              <w:t>31 August 2018</w:t>
            </w:r>
          </w:p>
        </w:tc>
      </w:tr>
      <w:tr w:rsidR="00CB0C31" w:rsidRPr="00FF6471" w:rsidTr="00766FC3">
        <w:trPr>
          <w:trHeight w:val="282"/>
          <w:jc w:val="center"/>
        </w:trPr>
        <w:tc>
          <w:tcPr>
            <w:tcW w:w="6644" w:type="dxa"/>
            <w:tcMar>
              <w:top w:w="113" w:type="dxa"/>
              <w:bottom w:w="113" w:type="dxa"/>
            </w:tcMar>
          </w:tcPr>
          <w:p w:rsidR="00CB0C31" w:rsidRPr="00766FC3" w:rsidRDefault="00CB0C31" w:rsidP="0057323F">
            <w:pPr>
              <w:rPr>
                <w:rFonts w:ascii="Arial" w:hAnsi="Arial" w:cs="Arial"/>
                <w:b/>
                <w:bCs/>
                <w:szCs w:val="24"/>
              </w:rPr>
            </w:pPr>
            <w:r w:rsidRPr="00766FC3">
              <w:rPr>
                <w:rFonts w:ascii="Arial" w:hAnsi="Arial" w:cs="Arial"/>
                <w:b/>
                <w:bCs/>
                <w:szCs w:val="24"/>
              </w:rPr>
              <w:t>Notification of</w:t>
            </w:r>
            <w:r w:rsidR="0057323F">
              <w:rPr>
                <w:rFonts w:ascii="Arial" w:hAnsi="Arial" w:cs="Arial"/>
                <w:b/>
                <w:bCs/>
                <w:szCs w:val="24"/>
              </w:rPr>
              <w:t xml:space="preserve"> outcomes</w:t>
            </w:r>
          </w:p>
        </w:tc>
        <w:tc>
          <w:tcPr>
            <w:tcW w:w="2933" w:type="dxa"/>
          </w:tcPr>
          <w:p w:rsidR="00CB0C31" w:rsidRPr="00766FC3" w:rsidRDefault="00CB0C31" w:rsidP="008E7EDA">
            <w:pPr>
              <w:rPr>
                <w:rFonts w:ascii="Arial" w:hAnsi="Arial" w:cs="Arial"/>
                <w:szCs w:val="24"/>
              </w:rPr>
            </w:pPr>
            <w:r w:rsidRPr="00766FC3">
              <w:rPr>
                <w:rFonts w:ascii="Arial" w:hAnsi="Arial" w:cs="Arial"/>
                <w:szCs w:val="24"/>
              </w:rPr>
              <w:t>Early October 2018</w:t>
            </w:r>
          </w:p>
        </w:tc>
      </w:tr>
      <w:tr w:rsidR="00CB0C31" w:rsidRPr="00FF6471" w:rsidTr="00766FC3">
        <w:trPr>
          <w:trHeight w:val="282"/>
          <w:jc w:val="center"/>
        </w:trPr>
        <w:tc>
          <w:tcPr>
            <w:tcW w:w="6644" w:type="dxa"/>
            <w:tcMar>
              <w:top w:w="113" w:type="dxa"/>
              <w:bottom w:w="113" w:type="dxa"/>
            </w:tcMar>
          </w:tcPr>
          <w:p w:rsidR="00CB0C31" w:rsidRPr="00766FC3" w:rsidRDefault="00CB0C31" w:rsidP="008E7EDA">
            <w:pPr>
              <w:rPr>
                <w:rFonts w:ascii="Arial" w:hAnsi="Arial" w:cs="Arial"/>
                <w:b/>
                <w:bCs/>
                <w:szCs w:val="24"/>
              </w:rPr>
            </w:pPr>
            <w:r w:rsidRPr="00766FC3">
              <w:rPr>
                <w:rFonts w:ascii="Arial" w:hAnsi="Arial" w:cs="Arial"/>
                <w:b/>
                <w:bCs/>
                <w:szCs w:val="24"/>
              </w:rPr>
              <w:t>Loan Agreements signed</w:t>
            </w:r>
          </w:p>
        </w:tc>
        <w:tc>
          <w:tcPr>
            <w:tcW w:w="2933" w:type="dxa"/>
          </w:tcPr>
          <w:p w:rsidR="00CB0C31" w:rsidRPr="00766FC3" w:rsidRDefault="00CB0C31" w:rsidP="008E7EDA">
            <w:pPr>
              <w:rPr>
                <w:rFonts w:ascii="Arial" w:hAnsi="Arial" w:cs="Arial"/>
                <w:szCs w:val="24"/>
              </w:rPr>
            </w:pPr>
            <w:r w:rsidRPr="0057323F">
              <w:rPr>
                <w:rFonts w:ascii="Arial" w:hAnsi="Arial" w:cs="Arial"/>
                <w:szCs w:val="24"/>
              </w:rPr>
              <w:t xml:space="preserve">October </w:t>
            </w:r>
            <w:r w:rsidR="0057323F" w:rsidRPr="0057323F">
              <w:rPr>
                <w:rFonts w:ascii="Arial" w:hAnsi="Arial" w:cs="Arial"/>
                <w:szCs w:val="24"/>
              </w:rPr>
              <w:t xml:space="preserve">2018 </w:t>
            </w:r>
            <w:r w:rsidR="007D1219" w:rsidRPr="0057323F">
              <w:rPr>
                <w:rFonts w:ascii="Arial" w:hAnsi="Arial" w:cs="Arial"/>
                <w:szCs w:val="24"/>
              </w:rPr>
              <w:t xml:space="preserve">onwards </w:t>
            </w:r>
          </w:p>
        </w:tc>
      </w:tr>
    </w:tbl>
    <w:p w:rsidR="00355B55" w:rsidRDefault="00C75642" w:rsidP="00355B55">
      <w:pPr>
        <w:pStyle w:val="DHHSbody"/>
      </w:pPr>
      <w:r>
        <w:t>The scheme will seek delivery of project</w:t>
      </w:r>
      <w:r w:rsidR="002F6B35">
        <w:t>s</w:t>
      </w:r>
      <w:r w:rsidR="005F5E9F">
        <w:t xml:space="preserve"> within </w:t>
      </w:r>
      <w:r w:rsidR="0057323F" w:rsidRPr="0057323F">
        <w:t>24</w:t>
      </w:r>
      <w:r w:rsidR="00355B55" w:rsidRPr="0057323F">
        <w:t xml:space="preserve"> months from the execution of the c</w:t>
      </w:r>
      <w:r w:rsidR="00946EF9">
        <w:t>ontract</w:t>
      </w:r>
      <w:r w:rsidR="005F5E9F">
        <w:t>.</w:t>
      </w:r>
    </w:p>
    <w:p w:rsidR="00C65C0C" w:rsidRPr="002222F1" w:rsidRDefault="003D13E4" w:rsidP="00C65C0C">
      <w:pPr>
        <w:pStyle w:val="Heading1"/>
      </w:pPr>
      <w:bookmarkStart w:id="41" w:name="_Toc518991286"/>
      <w:r>
        <w:t>5</w:t>
      </w:r>
      <w:r w:rsidR="00C65C0C" w:rsidRPr="002222F1">
        <w:t xml:space="preserve">. Conditions that apply to </w:t>
      </w:r>
      <w:r w:rsidR="00C65C0C">
        <w:t>loan applications</w:t>
      </w:r>
      <w:bookmarkEnd w:id="41"/>
    </w:p>
    <w:p w:rsidR="000A050B" w:rsidRDefault="000A050B" w:rsidP="000A050B">
      <w:pPr>
        <w:pStyle w:val="Heading2"/>
      </w:pPr>
      <w:bookmarkStart w:id="42" w:name="_Toc518991287"/>
      <w:r>
        <w:t xml:space="preserve">5.1 </w:t>
      </w:r>
      <w:r w:rsidR="006F7257">
        <w:t xml:space="preserve"> </w:t>
      </w:r>
      <w:r w:rsidR="00D345C8">
        <w:t>Loan t</w:t>
      </w:r>
      <w:r>
        <w:t>erms</w:t>
      </w:r>
      <w:bookmarkEnd w:id="42"/>
    </w:p>
    <w:p w:rsidR="000A050B" w:rsidRDefault="000A050B" w:rsidP="000A050B">
      <w:pPr>
        <w:pStyle w:val="DHHSbody"/>
      </w:pPr>
      <w:r>
        <w:t>Organisations will have flexibility when structuring the</w:t>
      </w:r>
      <w:r w:rsidR="00C75642">
        <w:t>ir</w:t>
      </w:r>
      <w:r>
        <w:t xml:space="preserve"> loan</w:t>
      </w:r>
      <w:r w:rsidR="00C75642">
        <w:t>/</w:t>
      </w:r>
      <w:r>
        <w:t xml:space="preserve">s. Organisations will be able discuss the following conditions with </w:t>
      </w:r>
      <w:r w:rsidR="008E09F0">
        <w:t>the Department of Treasury and Finance</w:t>
      </w:r>
      <w:r>
        <w:t xml:space="preserve"> and T</w:t>
      </w:r>
      <w:r w:rsidR="008E09F0">
        <w:t>reasury Corporation of Victoria</w:t>
      </w:r>
      <w:r>
        <w:t xml:space="preserve"> to ensure the loan structure is </w:t>
      </w:r>
      <w:r w:rsidR="00946EF9">
        <w:t>consistent</w:t>
      </w:r>
      <w:r>
        <w:t xml:space="preserve"> with business requirements:</w:t>
      </w:r>
    </w:p>
    <w:p w:rsidR="000A050B" w:rsidRDefault="00231288" w:rsidP="000A050B">
      <w:pPr>
        <w:pStyle w:val="DHHSbullet1"/>
      </w:pPr>
      <w:r>
        <w:t>F</w:t>
      </w:r>
      <w:r w:rsidR="000A050B">
        <w:t>ixed or variable interest rate</w:t>
      </w:r>
    </w:p>
    <w:p w:rsidR="001068CB" w:rsidRPr="001068CB" w:rsidRDefault="00231288" w:rsidP="001068CB">
      <w:pPr>
        <w:pStyle w:val="DHHSbullet1"/>
      </w:pPr>
      <w:r>
        <w:t>L</w:t>
      </w:r>
      <w:r w:rsidR="00420C5C">
        <w:t>oan term (up to 15 years)</w:t>
      </w:r>
    </w:p>
    <w:p w:rsidR="000A050B" w:rsidRDefault="00231288" w:rsidP="000A050B">
      <w:pPr>
        <w:pStyle w:val="DHHSbullet1"/>
      </w:pPr>
      <w:r>
        <w:t>R</w:t>
      </w:r>
      <w:r w:rsidR="000A050B">
        <w:t>equirements for a</w:t>
      </w:r>
      <w:r w:rsidR="001513FE">
        <w:t xml:space="preserve"> limited</w:t>
      </w:r>
      <w:r w:rsidR="000A050B">
        <w:t xml:space="preserve"> interest only period</w:t>
      </w:r>
    </w:p>
    <w:p w:rsidR="000A050B" w:rsidRDefault="00231288" w:rsidP="000A050B">
      <w:pPr>
        <w:pStyle w:val="DHHSbullet1"/>
      </w:pPr>
      <w:r>
        <w:t>S</w:t>
      </w:r>
      <w:r w:rsidR="000A050B">
        <w:t>ecurity to be provided</w:t>
      </w:r>
    </w:p>
    <w:p w:rsidR="000A050B" w:rsidRDefault="00231288" w:rsidP="000A050B">
      <w:pPr>
        <w:pStyle w:val="DHHSbullet1"/>
      </w:pPr>
      <w:r>
        <w:t>T</w:t>
      </w:r>
      <w:r w:rsidR="000A050B">
        <w:t>iming of repayments (monthly / quarterly</w:t>
      </w:r>
      <w:r w:rsidR="003447D4">
        <w:t xml:space="preserve"> / semi-annual</w:t>
      </w:r>
      <w:r w:rsidR="000A050B">
        <w:t>)</w:t>
      </w:r>
    </w:p>
    <w:p w:rsidR="001D0BA7" w:rsidRDefault="001D0BA7" w:rsidP="001D0BA7">
      <w:pPr>
        <w:pStyle w:val="DHHSbody"/>
      </w:pPr>
      <w:r>
        <w:lastRenderedPageBreak/>
        <w:t>Your organisation will also be required to sign an agreement with the Department of Health and Human Services that sets out long term community access expectations and financial scenarios for circumstances where a facility’s use changes during that time.</w:t>
      </w:r>
    </w:p>
    <w:p w:rsidR="00232BBC" w:rsidRDefault="000A050B" w:rsidP="00232BBC">
      <w:pPr>
        <w:pStyle w:val="Heading2"/>
      </w:pPr>
      <w:bookmarkStart w:id="43" w:name="_Toc518991288"/>
      <w:r>
        <w:t>5.2</w:t>
      </w:r>
      <w:r w:rsidR="003D13E4">
        <w:t xml:space="preserve"> </w:t>
      </w:r>
      <w:r w:rsidR="00C65C0C" w:rsidRPr="002222F1">
        <w:t xml:space="preserve"> Acknowledging the Victorian Government’s support and promoting success</w:t>
      </w:r>
      <w:bookmarkEnd w:id="43"/>
    </w:p>
    <w:p w:rsidR="00C65C0C" w:rsidRPr="00AF1C02" w:rsidRDefault="00C65C0C" w:rsidP="00232BBC">
      <w:pPr>
        <w:pStyle w:val="DHHSbody"/>
        <w:rPr>
          <w:rFonts w:cs="Arial"/>
          <w:sz w:val="24"/>
          <w:szCs w:val="24"/>
        </w:rPr>
      </w:pPr>
      <w:r w:rsidRPr="00232BBC">
        <w:rPr>
          <w:rStyle w:val="DHHSbodyChar"/>
        </w:rPr>
        <w:t xml:space="preserve">Successful applicants need to acknowledge the Victorian Government’s support through the </w:t>
      </w:r>
      <w:r w:rsidRPr="00880543">
        <w:rPr>
          <w:rStyle w:val="DHHSbodyChar"/>
          <w:i/>
        </w:rPr>
        <w:t xml:space="preserve">Community Sports Infrastructure </w:t>
      </w:r>
      <w:r w:rsidR="00052167" w:rsidRPr="00880543">
        <w:rPr>
          <w:rStyle w:val="DHHSbodyChar"/>
          <w:i/>
        </w:rPr>
        <w:t xml:space="preserve">Loans </w:t>
      </w:r>
      <w:r w:rsidR="00946EF9" w:rsidRPr="00880543">
        <w:rPr>
          <w:rStyle w:val="DHHSbodyChar"/>
          <w:i/>
        </w:rPr>
        <w:t>S</w:t>
      </w:r>
      <w:r w:rsidR="00052167" w:rsidRPr="00880543">
        <w:rPr>
          <w:rStyle w:val="DHHSbodyChar"/>
          <w:i/>
        </w:rPr>
        <w:t>cheme</w:t>
      </w:r>
      <w:r w:rsidR="00946EF9">
        <w:rPr>
          <w:rStyle w:val="DHHSbodyChar"/>
        </w:rPr>
        <w:t>. Acknowledgement and P</w:t>
      </w:r>
      <w:r w:rsidRPr="00232BBC">
        <w:rPr>
          <w:rStyle w:val="DHHSbodyChar"/>
        </w:rPr>
        <w:t xml:space="preserve">ublicity </w:t>
      </w:r>
      <w:r w:rsidR="00946EF9">
        <w:rPr>
          <w:rStyle w:val="DHHSbodyChar"/>
        </w:rPr>
        <w:t>G</w:t>
      </w:r>
      <w:r w:rsidRPr="00232BBC">
        <w:rPr>
          <w:rStyle w:val="DHHSbodyChar"/>
        </w:rPr>
        <w:t xml:space="preserve">uidelines form part of the </w:t>
      </w:r>
      <w:r w:rsidR="005A2AA4">
        <w:rPr>
          <w:rStyle w:val="DHHSbodyChar"/>
        </w:rPr>
        <w:t>Community Access</w:t>
      </w:r>
      <w:r w:rsidR="005A2AA4" w:rsidRPr="00232BBC">
        <w:rPr>
          <w:rStyle w:val="DHHSbodyChar"/>
        </w:rPr>
        <w:t xml:space="preserve"> </w:t>
      </w:r>
      <w:r w:rsidRPr="00232BBC">
        <w:rPr>
          <w:rStyle w:val="DHHSbodyChar"/>
        </w:rPr>
        <w:t>Agreement and include the requirement that all activities acknowledge Victorian Government support through logo presentation on any activity-related publications, media releases, promotional material and placement of a permanent Victorian Government endorsed sign/plaque at the site during construction and upon completed of infrastructure activities.</w:t>
      </w:r>
      <w:r w:rsidRPr="00232BBC">
        <w:rPr>
          <w:rStyle w:val="DHHSbodyChar"/>
        </w:rPr>
        <w:br/>
      </w:r>
      <w:r w:rsidRPr="00232BBC">
        <w:rPr>
          <w:rStyle w:val="DHHSbodyChar"/>
        </w:rPr>
        <w:br/>
        <w:t>When your organisation wishes to launch an infrastructure project which is receiving funding from the government at a public event or similar, you are required to give the Minister for Sport</w:t>
      </w:r>
      <w:r w:rsidR="00946EF9">
        <w:rPr>
          <w:rStyle w:val="DHHSbodyChar"/>
        </w:rPr>
        <w:t xml:space="preserve"> and the Treasurer </w:t>
      </w:r>
      <w:r w:rsidRPr="00232BBC">
        <w:rPr>
          <w:rStyle w:val="DHHSbodyChar"/>
        </w:rPr>
        <w:t>the opportunity to officially open or launch the activity. Your organisation is also required to invite the Minister for Sport to significant events associated with the project including ground breaking ceremonies, construction inspections, openings, launches and photo opportunities.</w:t>
      </w:r>
      <w:r w:rsidRPr="00232BBC" w:rsidDel="00695B00">
        <w:rPr>
          <w:rStyle w:val="DHHSbodyChar"/>
        </w:rPr>
        <w:t xml:space="preserve"> </w:t>
      </w:r>
    </w:p>
    <w:p w:rsidR="00C65C0C" w:rsidRPr="008E16F9" w:rsidRDefault="00C65C0C" w:rsidP="00355B55">
      <w:pPr>
        <w:pStyle w:val="DHHSbody"/>
      </w:pPr>
      <w:r>
        <w:t xml:space="preserve">These guidelines reflect current expectations of Victorian Government recognition. Visit the </w:t>
      </w:r>
      <w:hyperlink r:id="rId18" w:history="1">
        <w:r w:rsidRPr="00946EF9">
          <w:rPr>
            <w:rStyle w:val="Hyperlink"/>
            <w:rFonts w:cs="Arial"/>
          </w:rPr>
          <w:t>Acknowledgement and Publicity Guidelines</w:t>
        </w:r>
      </w:hyperlink>
      <w:r w:rsidRPr="00AF1C02">
        <w:t xml:space="preserve"> </w:t>
      </w:r>
      <w:r>
        <w:t xml:space="preserve">page for more information </w:t>
      </w:r>
      <w:r w:rsidRPr="008E16F9">
        <w:t xml:space="preserve">&lt; http://www.sport.vic.gov.au/grants-and-funding/funded-project-information-forms-and-templates&gt;. </w:t>
      </w:r>
    </w:p>
    <w:p w:rsidR="00024E55" w:rsidRPr="00594606" w:rsidRDefault="00024E55" w:rsidP="008E1532">
      <w:pPr>
        <w:rPr>
          <w:rFonts w:ascii="Arial" w:hAnsi="Arial" w:cs="Arial"/>
          <w:iCs/>
          <w:sz w:val="24"/>
          <w:szCs w:val="24"/>
        </w:rPr>
        <w:sectPr w:rsidR="00024E55" w:rsidRPr="00594606" w:rsidSect="00FD6FFD">
          <w:type w:val="continuous"/>
          <w:pgSz w:w="11906" w:h="16838"/>
          <w:pgMar w:top="720" w:right="720" w:bottom="1134" w:left="720" w:header="720" w:footer="720" w:gutter="0"/>
          <w:cols w:space="720"/>
          <w:noEndnote/>
          <w:docGrid w:linePitch="272"/>
        </w:sectPr>
      </w:pPr>
    </w:p>
    <w:p w:rsidR="00B51444" w:rsidRPr="00613878" w:rsidRDefault="00B51444" w:rsidP="00B51444">
      <w:pPr>
        <w:pStyle w:val="DHHSbody"/>
        <w:spacing w:after="0" w:line="240" w:lineRule="auto"/>
        <w:rPr>
          <w:rFonts w:eastAsia="Times New Roman"/>
          <w:b/>
          <w:color w:val="AF272F"/>
          <w:sz w:val="28"/>
          <w:szCs w:val="28"/>
        </w:rPr>
      </w:pPr>
    </w:p>
    <w:p w:rsidR="00FF6471" w:rsidRDefault="00FF6471" w:rsidP="00C80184">
      <w:pPr>
        <w:pStyle w:val="DHHSbody"/>
        <w:spacing w:after="0" w:line="240" w:lineRule="auto"/>
        <w:rPr>
          <w:rFonts w:eastAsia="Times New Roman"/>
          <w:b/>
          <w:color w:val="AF272F"/>
          <w:sz w:val="28"/>
          <w:szCs w:val="28"/>
        </w:rPr>
      </w:pPr>
      <w:bookmarkStart w:id="44" w:name="_1.2_Why_is"/>
      <w:bookmarkStart w:id="45" w:name="_4._What_is"/>
      <w:bookmarkStart w:id="46" w:name="_5._Conditions_that"/>
      <w:bookmarkStart w:id="47" w:name="_5.1_Funding_agreements"/>
      <w:bookmarkStart w:id="48" w:name="_5.2_Acknowledging_the"/>
      <w:bookmarkStart w:id="49" w:name="_5.3_Payments"/>
      <w:bookmarkStart w:id="50" w:name="_6._Community_Facility"/>
      <w:bookmarkStart w:id="51" w:name="_6.1_Better_Pools"/>
      <w:bookmarkStart w:id="52" w:name="_6.2_Major_Facilities"/>
      <w:bookmarkStart w:id="53" w:name="_6.3_Better_Pools"/>
      <w:bookmarkStart w:id="54" w:name="_6.4_Seasonal_Pools"/>
      <w:bookmarkStart w:id="55" w:name="_6.5_Minor_Facilities"/>
      <w:bookmarkStart w:id="56" w:name="_6.6_Soccer_Facilities"/>
      <w:bookmarkStart w:id="57" w:name="_6.7_Seasonal_Pools,"/>
      <w:bookmarkStart w:id="58" w:name="_6.8_Planning"/>
      <w:bookmarkStart w:id="59" w:name="_6.9_Planning_Assessment"/>
      <w:bookmarkStart w:id="60" w:name="_8._How_will"/>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Default="001815E4" w:rsidP="00C80184">
      <w:pPr>
        <w:pStyle w:val="DHHSbody"/>
        <w:spacing w:after="0" w:line="240" w:lineRule="auto"/>
        <w:rPr>
          <w:rFonts w:eastAsia="Times New Roman"/>
          <w:b/>
          <w:color w:val="AF272F"/>
          <w:sz w:val="28"/>
          <w:szCs w:val="28"/>
        </w:rPr>
      </w:pPr>
    </w:p>
    <w:p w:rsidR="001815E4" w:rsidRPr="00613878" w:rsidRDefault="001815E4" w:rsidP="00C80184">
      <w:pPr>
        <w:pStyle w:val="DHHSbody"/>
        <w:spacing w:after="0" w:line="240" w:lineRule="auto"/>
        <w:rPr>
          <w:rFonts w:eastAsia="Times New Roman"/>
          <w:b/>
          <w:color w:val="AF272F"/>
          <w:sz w:val="28"/>
          <w:szCs w:val="28"/>
        </w:rPr>
      </w:pPr>
      <w:r>
        <w:rPr>
          <w:noProof/>
          <w:lang w:eastAsia="en-AU"/>
        </w:rPr>
        <w:drawing>
          <wp:anchor distT="0" distB="0" distL="114300" distR="114300" simplePos="0" relativeHeight="251663360" behindDoc="1" locked="1" layoutInCell="0" allowOverlap="1" wp14:anchorId="7C9305C2" wp14:editId="2F50EFD6">
            <wp:simplePos x="0" y="0"/>
            <wp:positionH relativeFrom="page">
              <wp:posOffset>-60325</wp:posOffset>
            </wp:positionH>
            <wp:positionV relativeFrom="page">
              <wp:posOffset>-8255</wp:posOffset>
            </wp:positionV>
            <wp:extent cx="7616825" cy="10776585"/>
            <wp:effectExtent l="0" t="0" r="3175" b="5715"/>
            <wp:wrapNone/>
            <wp:docPr id="4" name="Picture 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6825" cy="10776585"/>
                    </a:xfrm>
                    <a:prstGeom prst="rect">
                      <a:avLst/>
                    </a:prstGeom>
                    <a:noFill/>
                  </pic:spPr>
                </pic:pic>
              </a:graphicData>
            </a:graphic>
          </wp:anchor>
        </w:drawing>
      </w:r>
    </w:p>
    <w:sectPr w:rsidR="001815E4" w:rsidRPr="00613878" w:rsidSect="00BA5E47">
      <w:headerReference w:type="even" r:id="rId19"/>
      <w:headerReference w:type="default" r:id="rId20"/>
      <w:footerReference w:type="even" r:id="rId21"/>
      <w:footerReference w:type="default" r:id="rId22"/>
      <w:footerReference w:type="first" r:id="rId23"/>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D0" w:rsidRDefault="009E6ED0">
      <w:r>
        <w:separator/>
      </w:r>
    </w:p>
  </w:endnote>
  <w:endnote w:type="continuationSeparator" w:id="0">
    <w:p w:rsidR="009E6ED0" w:rsidRDefault="009E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DIN-Medium">
    <w:altName w:val="Courier New"/>
    <w:charset w:val="00"/>
    <w:family w:val="auto"/>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CE" w:rsidRPr="00FD6FFD" w:rsidRDefault="00FA4BCE" w:rsidP="00640C98">
    <w:pPr>
      <w:pStyle w:val="Footer"/>
      <w:rPr>
        <w:sz w:val="20"/>
        <w:szCs w:val="20"/>
      </w:rPr>
    </w:pPr>
    <w:r w:rsidRPr="00FD6FFD">
      <w:rPr>
        <w:bCs/>
        <w:sz w:val="20"/>
        <w:szCs w:val="20"/>
      </w:rPr>
      <w:t xml:space="preserve">Community Sports Infrastructure </w:t>
    </w:r>
    <w:r w:rsidR="00402651" w:rsidRPr="00FD6FFD">
      <w:rPr>
        <w:bCs/>
        <w:sz w:val="20"/>
        <w:szCs w:val="20"/>
      </w:rPr>
      <w:t>Loans Scheme</w:t>
    </w:r>
    <w:r w:rsidRPr="00FD6FFD">
      <w:rPr>
        <w:bCs/>
        <w:sz w:val="20"/>
        <w:szCs w:val="20"/>
      </w:rPr>
      <w:tab/>
    </w:r>
    <w:r w:rsidRPr="00FD6FFD">
      <w:rPr>
        <w:bCs/>
        <w:sz w:val="20"/>
        <w:szCs w:val="20"/>
      </w:rPr>
      <w:tab/>
    </w:r>
    <w:r w:rsidRPr="00FD6FFD">
      <w:rPr>
        <w:bCs/>
        <w:sz w:val="20"/>
        <w:szCs w:val="20"/>
      </w:rPr>
      <w:tab/>
    </w:r>
    <w:r w:rsidR="00F0367A" w:rsidRPr="00FD6FFD">
      <w:rPr>
        <w:sz w:val="20"/>
        <w:szCs w:val="20"/>
      </w:rPr>
      <w:fldChar w:fldCharType="begin"/>
    </w:r>
    <w:r w:rsidRPr="00FD6FFD">
      <w:rPr>
        <w:sz w:val="20"/>
        <w:szCs w:val="20"/>
      </w:rPr>
      <w:instrText xml:space="preserve"> PAGE   \* MERGEFORMAT </w:instrText>
    </w:r>
    <w:r w:rsidR="00F0367A" w:rsidRPr="00FD6FFD">
      <w:rPr>
        <w:sz w:val="20"/>
        <w:szCs w:val="20"/>
      </w:rPr>
      <w:fldChar w:fldCharType="separate"/>
    </w:r>
    <w:r w:rsidR="00AA4A74">
      <w:rPr>
        <w:noProof/>
        <w:sz w:val="20"/>
        <w:szCs w:val="20"/>
      </w:rPr>
      <w:t>7</w:t>
    </w:r>
    <w:r w:rsidR="00F0367A" w:rsidRPr="00FD6FFD">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CE" w:rsidRPr="008114D1" w:rsidRDefault="00FA4BCE" w:rsidP="00E969B1">
    <w:pPr>
      <w:pStyle w:val="DHHSfooter"/>
    </w:pPr>
    <w:r>
      <w:tab/>
    </w:r>
  </w:p>
  <w:p w:rsidR="00FA4BCE" w:rsidRDefault="00FA4BCE"/>
  <w:p w:rsidR="00FA4BCE" w:rsidRDefault="00FA4B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CE" w:rsidRPr="0031753A" w:rsidRDefault="00FA4BCE" w:rsidP="00E969B1">
    <w:pPr>
      <w:pStyle w:val="DHHSfooter"/>
    </w:pPr>
    <w:r w:rsidRPr="00E34742">
      <w:rPr>
        <w:bCs/>
        <w:sz w:val="24"/>
        <w:szCs w:val="24"/>
      </w:rPr>
      <w:t>201</w:t>
    </w:r>
    <w:r>
      <w:rPr>
        <w:bCs/>
        <w:sz w:val="24"/>
        <w:szCs w:val="24"/>
      </w:rPr>
      <w:t>8</w:t>
    </w:r>
    <w:r w:rsidRPr="00E34742">
      <w:rPr>
        <w:bCs/>
        <w:sz w:val="24"/>
        <w:szCs w:val="24"/>
      </w:rPr>
      <w:t>-201</w:t>
    </w:r>
    <w:r>
      <w:rPr>
        <w:bCs/>
        <w:sz w:val="24"/>
        <w:szCs w:val="24"/>
      </w:rPr>
      <w:t>9</w:t>
    </w:r>
    <w:r w:rsidRPr="00E34742">
      <w:rPr>
        <w:bCs/>
        <w:sz w:val="24"/>
        <w:szCs w:val="24"/>
      </w:rPr>
      <w:t xml:space="preserve"> Community Sports Infrastructure Fund</w:t>
    </w:r>
    <w:r w:rsidRPr="0031753A">
      <w:tab/>
    </w:r>
    <w:r w:rsidRPr="00D178E7">
      <w:rPr>
        <w:sz w:val="24"/>
        <w:szCs w:val="24"/>
      </w:rPr>
      <w:t xml:space="preserve">Page </w:t>
    </w:r>
    <w:r w:rsidR="00F0367A" w:rsidRPr="00D178E7">
      <w:rPr>
        <w:sz w:val="24"/>
        <w:szCs w:val="24"/>
      </w:rPr>
      <w:fldChar w:fldCharType="begin"/>
    </w:r>
    <w:r w:rsidRPr="00D178E7">
      <w:rPr>
        <w:sz w:val="24"/>
        <w:szCs w:val="24"/>
      </w:rPr>
      <w:instrText xml:space="preserve"> PAGE </w:instrText>
    </w:r>
    <w:r w:rsidR="00F0367A" w:rsidRPr="00D178E7">
      <w:rPr>
        <w:sz w:val="24"/>
        <w:szCs w:val="24"/>
      </w:rPr>
      <w:fldChar w:fldCharType="separate"/>
    </w:r>
    <w:r w:rsidR="00AA4A74">
      <w:rPr>
        <w:noProof/>
        <w:sz w:val="24"/>
        <w:szCs w:val="24"/>
      </w:rPr>
      <w:t>11</w:t>
    </w:r>
    <w:r w:rsidR="00F0367A" w:rsidRPr="00D178E7">
      <w:rPr>
        <w:sz w:val="24"/>
        <w:szCs w:val="24"/>
      </w:rPr>
      <w:fldChar w:fldCharType="end"/>
    </w:r>
  </w:p>
  <w:p w:rsidR="00FA4BCE" w:rsidRDefault="00FA4BCE"/>
  <w:p w:rsidR="00FA4BCE" w:rsidRDefault="00FA4B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CE" w:rsidRPr="001A7E04" w:rsidRDefault="00FA4BCE"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D0" w:rsidRDefault="009E6ED0">
      <w:r>
        <w:separator/>
      </w:r>
    </w:p>
  </w:footnote>
  <w:footnote w:type="continuationSeparator" w:id="0">
    <w:p w:rsidR="009E6ED0" w:rsidRDefault="009E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CE" w:rsidRPr="0069374A" w:rsidRDefault="00FA4BCE" w:rsidP="00E969B1">
    <w:pPr>
      <w:pStyle w:val="DHHSheader"/>
    </w:pPr>
  </w:p>
  <w:p w:rsidR="00FA4BCE" w:rsidRDefault="00FA4BCE"/>
  <w:p w:rsidR="00FA4BCE" w:rsidRDefault="00FA4B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CE" w:rsidRDefault="00FA4BCE" w:rsidP="00E969B1">
    <w:pPr>
      <w:pStyle w:val="DHHSheader"/>
    </w:pPr>
  </w:p>
  <w:p w:rsidR="00FA4BCE" w:rsidRDefault="00FA4BCE"/>
  <w:p w:rsidR="00FA4BCE" w:rsidRDefault="00FA4B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FB3"/>
    <w:multiLevelType w:val="hybridMultilevel"/>
    <w:tmpl w:val="399ED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5C0C63"/>
    <w:multiLevelType w:val="hybridMultilevel"/>
    <w:tmpl w:val="C16A71A8"/>
    <w:lvl w:ilvl="0" w:tplc="C0B09D0C">
      <w:start w:val="1"/>
      <w:numFmt w:val="bullet"/>
      <w:lvlText w:val=""/>
      <w:lvlJc w:val="left"/>
      <w:pPr>
        <w:ind w:left="701" w:hanging="360"/>
      </w:pPr>
      <w:rPr>
        <w:rFonts w:ascii="Wingdings" w:hAnsi="Wingdings" w:hint="default"/>
        <w:sz w:val="24"/>
      </w:rPr>
    </w:lvl>
    <w:lvl w:ilvl="1" w:tplc="2110D610">
      <w:numFmt w:val="bullet"/>
      <w:lvlText w:val="-"/>
      <w:lvlJc w:val="left"/>
      <w:pPr>
        <w:ind w:left="1421" w:hanging="360"/>
      </w:pPr>
      <w:rPr>
        <w:rFonts w:ascii="Cambria" w:eastAsia="MS Mincho" w:hAnsi="Cambria"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2">
    <w:nsid w:val="1FE70671"/>
    <w:multiLevelType w:val="multilevel"/>
    <w:tmpl w:val="B990649C"/>
    <w:lvl w:ilvl="0">
      <w:start w:val="1"/>
      <w:numFmt w:val="bullet"/>
      <w:lvlText w:val=""/>
      <w:lvlJc w:val="left"/>
      <w:pPr>
        <w:tabs>
          <w:tab w:val="num" w:pos="360"/>
        </w:tabs>
        <w:ind w:left="360" w:hanging="360"/>
      </w:pPr>
      <w:rPr>
        <w:rFonts w:ascii="Wingdings" w:hAnsi="Wingdings"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22845C58"/>
    <w:multiLevelType w:val="hybridMultilevel"/>
    <w:tmpl w:val="AAEA529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nsid w:val="276C0A17"/>
    <w:multiLevelType w:val="hybridMultilevel"/>
    <w:tmpl w:val="0B007E4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293A53F9"/>
    <w:multiLevelType w:val="hybridMultilevel"/>
    <w:tmpl w:val="5A6C4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CA6F62"/>
    <w:multiLevelType w:val="hybridMultilevel"/>
    <w:tmpl w:val="9AF2E19E"/>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CA047A"/>
    <w:multiLevelType w:val="hybridMultilevel"/>
    <w:tmpl w:val="D35A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E1E358D"/>
    <w:multiLevelType w:val="hybridMultilevel"/>
    <w:tmpl w:val="4404B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397247"/>
    <w:multiLevelType w:val="hybridMultilevel"/>
    <w:tmpl w:val="CF825DE8"/>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2">
    <w:nsid w:val="456739DD"/>
    <w:multiLevelType w:val="hybridMultilevel"/>
    <w:tmpl w:val="080AD0F4"/>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BC4D46"/>
    <w:multiLevelType w:val="hybridMultilevel"/>
    <w:tmpl w:val="933AA3C8"/>
    <w:lvl w:ilvl="0" w:tplc="BF1414B2">
      <w:start w:val="1"/>
      <w:numFmt w:val="bullet"/>
      <w:lvlText w:val=""/>
      <w:lvlJc w:val="left"/>
      <w:pPr>
        <w:ind w:left="10707" w:hanging="360"/>
      </w:pPr>
      <w:rPr>
        <w:rFonts w:ascii="Wingdings" w:hAnsi="Wingdings" w:hint="default"/>
      </w:rPr>
    </w:lvl>
    <w:lvl w:ilvl="1" w:tplc="2110D610">
      <w:numFmt w:val="bullet"/>
      <w:lvlText w:val="-"/>
      <w:lvlJc w:val="left"/>
      <w:pPr>
        <w:ind w:left="11427" w:hanging="360"/>
      </w:pPr>
      <w:rPr>
        <w:rFonts w:ascii="Cambria" w:eastAsia="MS Mincho" w:hAnsi="Cambria" w:hint="default"/>
      </w:rPr>
    </w:lvl>
    <w:lvl w:ilvl="2" w:tplc="04090005" w:tentative="1">
      <w:start w:val="1"/>
      <w:numFmt w:val="bullet"/>
      <w:lvlText w:val=""/>
      <w:lvlJc w:val="left"/>
      <w:pPr>
        <w:ind w:left="12147" w:hanging="360"/>
      </w:pPr>
      <w:rPr>
        <w:rFonts w:ascii="Wingdings" w:hAnsi="Wingdings" w:hint="default"/>
      </w:rPr>
    </w:lvl>
    <w:lvl w:ilvl="3" w:tplc="04090001" w:tentative="1">
      <w:start w:val="1"/>
      <w:numFmt w:val="bullet"/>
      <w:lvlText w:val=""/>
      <w:lvlJc w:val="left"/>
      <w:pPr>
        <w:ind w:left="12867" w:hanging="360"/>
      </w:pPr>
      <w:rPr>
        <w:rFonts w:ascii="Symbol" w:hAnsi="Symbol" w:hint="default"/>
      </w:rPr>
    </w:lvl>
    <w:lvl w:ilvl="4" w:tplc="04090003" w:tentative="1">
      <w:start w:val="1"/>
      <w:numFmt w:val="bullet"/>
      <w:lvlText w:val="o"/>
      <w:lvlJc w:val="left"/>
      <w:pPr>
        <w:ind w:left="13587" w:hanging="360"/>
      </w:pPr>
      <w:rPr>
        <w:rFonts w:ascii="Courier New" w:hAnsi="Courier New" w:hint="default"/>
      </w:rPr>
    </w:lvl>
    <w:lvl w:ilvl="5" w:tplc="04090005" w:tentative="1">
      <w:start w:val="1"/>
      <w:numFmt w:val="bullet"/>
      <w:lvlText w:val=""/>
      <w:lvlJc w:val="left"/>
      <w:pPr>
        <w:ind w:left="14307" w:hanging="360"/>
      </w:pPr>
      <w:rPr>
        <w:rFonts w:ascii="Wingdings" w:hAnsi="Wingdings" w:hint="default"/>
      </w:rPr>
    </w:lvl>
    <w:lvl w:ilvl="6" w:tplc="04090001" w:tentative="1">
      <w:start w:val="1"/>
      <w:numFmt w:val="bullet"/>
      <w:lvlText w:val=""/>
      <w:lvlJc w:val="left"/>
      <w:pPr>
        <w:ind w:left="15027" w:hanging="360"/>
      </w:pPr>
      <w:rPr>
        <w:rFonts w:ascii="Symbol" w:hAnsi="Symbol" w:hint="default"/>
      </w:rPr>
    </w:lvl>
    <w:lvl w:ilvl="7" w:tplc="04090003" w:tentative="1">
      <w:start w:val="1"/>
      <w:numFmt w:val="bullet"/>
      <w:lvlText w:val="o"/>
      <w:lvlJc w:val="left"/>
      <w:pPr>
        <w:ind w:left="15747" w:hanging="360"/>
      </w:pPr>
      <w:rPr>
        <w:rFonts w:ascii="Courier New" w:hAnsi="Courier New" w:hint="default"/>
      </w:rPr>
    </w:lvl>
    <w:lvl w:ilvl="8" w:tplc="04090005" w:tentative="1">
      <w:start w:val="1"/>
      <w:numFmt w:val="bullet"/>
      <w:lvlText w:val=""/>
      <w:lvlJc w:val="left"/>
      <w:pPr>
        <w:ind w:left="16467" w:hanging="360"/>
      </w:pPr>
      <w:rPr>
        <w:rFonts w:ascii="Wingdings" w:hAnsi="Wingdings" w:hint="default"/>
      </w:rPr>
    </w:lvl>
  </w:abstractNum>
  <w:abstractNum w:abstractNumId="14">
    <w:nsid w:val="48325AB5"/>
    <w:multiLevelType w:val="hybridMultilevel"/>
    <w:tmpl w:val="2822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4E05A6"/>
    <w:multiLevelType w:val="multilevel"/>
    <w:tmpl w:val="AC6A0F3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nsid w:val="4BA25924"/>
    <w:multiLevelType w:val="hybridMultilevel"/>
    <w:tmpl w:val="F0801B18"/>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BA1E5A"/>
    <w:multiLevelType w:val="multilevel"/>
    <w:tmpl w:val="82C2F15C"/>
    <w:styleLink w:val="ZZBullets"/>
    <w:lvl w:ilvl="0">
      <w:start w:val="1"/>
      <w:numFmt w:val="bullet"/>
      <w:pStyle w:val="DHHSbullet1"/>
      <w:lvlText w:val="•"/>
      <w:lvlJc w:val="left"/>
      <w:pPr>
        <w:ind w:left="426"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nsid w:val="5B1D437C"/>
    <w:multiLevelType w:val="hybridMultilevel"/>
    <w:tmpl w:val="849CD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8B2ACF"/>
    <w:multiLevelType w:val="hybridMultilevel"/>
    <w:tmpl w:val="077CA12C"/>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F67FC2"/>
    <w:multiLevelType w:val="hybridMultilevel"/>
    <w:tmpl w:val="1478A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F01022"/>
    <w:multiLevelType w:val="hybridMultilevel"/>
    <w:tmpl w:val="3A9E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nsid w:val="74A949D3"/>
    <w:multiLevelType w:val="hybridMultilevel"/>
    <w:tmpl w:val="BC22E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863E63"/>
    <w:multiLevelType w:val="hybridMultilevel"/>
    <w:tmpl w:val="42564CA8"/>
    <w:lvl w:ilvl="0" w:tplc="BF1414B2">
      <w:start w:val="1"/>
      <w:numFmt w:val="bullet"/>
      <w:lvlText w:val=""/>
      <w:lvlJc w:val="left"/>
      <w:pPr>
        <w:ind w:left="1440" w:hanging="360"/>
      </w:pPr>
      <w:rPr>
        <w:rFonts w:ascii="Wingdings" w:hAnsi="Wingdings" w:hint="default"/>
      </w:rPr>
    </w:lvl>
    <w:lvl w:ilvl="1" w:tplc="2110D610">
      <w:numFmt w:val="bullet"/>
      <w:lvlText w:val="-"/>
      <w:lvlJc w:val="left"/>
      <w:pPr>
        <w:ind w:left="2160" w:hanging="360"/>
      </w:pPr>
      <w:rPr>
        <w:rFonts w:ascii="Cambria" w:eastAsia="MS Mincho" w:hAnsi="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F618D0"/>
    <w:multiLevelType w:val="hybridMultilevel"/>
    <w:tmpl w:val="D5BE5F70"/>
    <w:lvl w:ilvl="0" w:tplc="934AE0C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18"/>
  </w:num>
  <w:num w:numId="2">
    <w:abstractNumId w:val="8"/>
  </w:num>
  <w:num w:numId="3">
    <w:abstractNumId w:val="16"/>
  </w:num>
  <w:num w:numId="4">
    <w:abstractNumId w:val="23"/>
  </w:num>
  <w:num w:numId="5">
    <w:abstractNumId w:val="13"/>
  </w:num>
  <w:num w:numId="6">
    <w:abstractNumId w:val="1"/>
  </w:num>
  <w:num w:numId="7">
    <w:abstractNumId w:val="25"/>
  </w:num>
  <w:num w:numId="8">
    <w:abstractNumId w:val="6"/>
  </w:num>
  <w:num w:numId="9">
    <w:abstractNumId w:val="12"/>
  </w:num>
  <w:num w:numId="10">
    <w:abstractNumId w:val="20"/>
  </w:num>
  <w:num w:numId="11">
    <w:abstractNumId w:val="10"/>
  </w:num>
  <w:num w:numId="12">
    <w:abstractNumId w:val="17"/>
  </w:num>
  <w:num w:numId="13">
    <w:abstractNumId w:val="4"/>
  </w:num>
  <w:num w:numId="14">
    <w:abstractNumId w:val="18"/>
  </w:num>
  <w:num w:numId="15">
    <w:abstractNumId w:val="18"/>
  </w:num>
  <w:num w:numId="16">
    <w:abstractNumId w:val="18"/>
  </w:num>
  <w:num w:numId="17">
    <w:abstractNumId w:val="18"/>
  </w:num>
  <w:num w:numId="18">
    <w:abstractNumId w:val="21"/>
  </w:num>
  <w:num w:numId="19">
    <w:abstractNumId w:val="18"/>
  </w:num>
  <w:num w:numId="20">
    <w:abstractNumId w:val="22"/>
  </w:num>
  <w:num w:numId="21">
    <w:abstractNumId w:val="18"/>
  </w:num>
  <w:num w:numId="22">
    <w:abstractNumId w:val="14"/>
  </w:num>
  <w:num w:numId="23">
    <w:abstractNumId w:val="19"/>
  </w:num>
  <w:num w:numId="24">
    <w:abstractNumId w:val="24"/>
  </w:num>
  <w:num w:numId="25">
    <w:abstractNumId w:val="18"/>
  </w:num>
  <w:num w:numId="26">
    <w:abstractNumId w:val="18"/>
  </w:num>
  <w:num w:numId="27">
    <w:abstractNumId w:val="5"/>
  </w:num>
  <w:num w:numId="28">
    <w:abstractNumId w:val="7"/>
  </w:num>
  <w:num w:numId="29">
    <w:abstractNumId w:val="9"/>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3"/>
  </w:num>
  <w:num w:numId="38">
    <w:abstractNumId w:val="26"/>
  </w:num>
  <w:num w:numId="39">
    <w:abstractNumId w:val="18"/>
  </w:num>
  <w:num w:numId="40">
    <w:abstractNumId w:val="18"/>
  </w:num>
  <w:num w:numId="41">
    <w:abstractNumId w:val="0"/>
  </w:num>
  <w:num w:numId="42">
    <w:abstractNumId w:val="11"/>
  </w:num>
  <w:num w:numId="43">
    <w:abstractNumId w:val="2"/>
  </w:num>
  <w:num w:numId="44">
    <w:abstractNumId w:val="18"/>
  </w:num>
  <w:num w:numId="45">
    <w:abstractNumId w:val="18"/>
  </w:num>
  <w:num w:numId="46">
    <w:abstractNumId w:val="15"/>
  </w:num>
  <w:num w:numId="47">
    <w:abstractNumId w:val="18"/>
  </w:num>
  <w:num w:numId="4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78"/>
    <w:rsid w:val="00002990"/>
    <w:rsid w:val="000048AC"/>
    <w:rsid w:val="000064E9"/>
    <w:rsid w:val="00007D16"/>
    <w:rsid w:val="00014FC4"/>
    <w:rsid w:val="00020AAB"/>
    <w:rsid w:val="00020B3F"/>
    <w:rsid w:val="00021858"/>
    <w:rsid w:val="000223A4"/>
    <w:rsid w:val="00022DE7"/>
    <w:rsid w:val="00022E60"/>
    <w:rsid w:val="00024E55"/>
    <w:rsid w:val="00026C19"/>
    <w:rsid w:val="00030EF4"/>
    <w:rsid w:val="00031263"/>
    <w:rsid w:val="00033AFF"/>
    <w:rsid w:val="00042F70"/>
    <w:rsid w:val="00050CE6"/>
    <w:rsid w:val="00051838"/>
    <w:rsid w:val="00052167"/>
    <w:rsid w:val="00060E93"/>
    <w:rsid w:val="00060EF2"/>
    <w:rsid w:val="00062978"/>
    <w:rsid w:val="00064936"/>
    <w:rsid w:val="00066667"/>
    <w:rsid w:val="00066D40"/>
    <w:rsid w:val="00073310"/>
    <w:rsid w:val="000734F8"/>
    <w:rsid w:val="000736B8"/>
    <w:rsid w:val="000817CB"/>
    <w:rsid w:val="000873EF"/>
    <w:rsid w:val="00087FF7"/>
    <w:rsid w:val="000915B0"/>
    <w:rsid w:val="00096960"/>
    <w:rsid w:val="000A050B"/>
    <w:rsid w:val="000A3E06"/>
    <w:rsid w:val="000A5724"/>
    <w:rsid w:val="000A5F41"/>
    <w:rsid w:val="000A6793"/>
    <w:rsid w:val="000B3792"/>
    <w:rsid w:val="000B669E"/>
    <w:rsid w:val="000C0A90"/>
    <w:rsid w:val="000C6242"/>
    <w:rsid w:val="000C68DB"/>
    <w:rsid w:val="000D0A37"/>
    <w:rsid w:val="000D2C32"/>
    <w:rsid w:val="000D7E0B"/>
    <w:rsid w:val="000E3426"/>
    <w:rsid w:val="000E6609"/>
    <w:rsid w:val="000E6F72"/>
    <w:rsid w:val="000F0478"/>
    <w:rsid w:val="000F0A50"/>
    <w:rsid w:val="001034F7"/>
    <w:rsid w:val="00103D5E"/>
    <w:rsid w:val="001048A9"/>
    <w:rsid w:val="00104EA7"/>
    <w:rsid w:val="0010508D"/>
    <w:rsid w:val="00105FAD"/>
    <w:rsid w:val="001068CB"/>
    <w:rsid w:val="0011155B"/>
    <w:rsid w:val="00111A6A"/>
    <w:rsid w:val="00117C3E"/>
    <w:rsid w:val="00117DE5"/>
    <w:rsid w:val="00121BF1"/>
    <w:rsid w:val="00127A8B"/>
    <w:rsid w:val="00130334"/>
    <w:rsid w:val="00131B96"/>
    <w:rsid w:val="0013427E"/>
    <w:rsid w:val="00134BE5"/>
    <w:rsid w:val="00134C86"/>
    <w:rsid w:val="00137472"/>
    <w:rsid w:val="001412D1"/>
    <w:rsid w:val="001423E3"/>
    <w:rsid w:val="00145AA7"/>
    <w:rsid w:val="001475EA"/>
    <w:rsid w:val="001504F5"/>
    <w:rsid w:val="001513FE"/>
    <w:rsid w:val="001517BD"/>
    <w:rsid w:val="00152C98"/>
    <w:rsid w:val="00154DDC"/>
    <w:rsid w:val="0016545D"/>
    <w:rsid w:val="001711CA"/>
    <w:rsid w:val="0017248D"/>
    <w:rsid w:val="0017277A"/>
    <w:rsid w:val="00173626"/>
    <w:rsid w:val="001759E4"/>
    <w:rsid w:val="0017614A"/>
    <w:rsid w:val="001815E4"/>
    <w:rsid w:val="001817CD"/>
    <w:rsid w:val="00181D81"/>
    <w:rsid w:val="0018235E"/>
    <w:rsid w:val="0018768C"/>
    <w:rsid w:val="00192BA0"/>
    <w:rsid w:val="00197303"/>
    <w:rsid w:val="00197BAC"/>
    <w:rsid w:val="001A01AE"/>
    <w:rsid w:val="001A17EA"/>
    <w:rsid w:val="001A22AA"/>
    <w:rsid w:val="001A360E"/>
    <w:rsid w:val="001A4D5B"/>
    <w:rsid w:val="001A5351"/>
    <w:rsid w:val="001A735D"/>
    <w:rsid w:val="001A7A18"/>
    <w:rsid w:val="001A7AFD"/>
    <w:rsid w:val="001B0A0A"/>
    <w:rsid w:val="001B1565"/>
    <w:rsid w:val="001B166D"/>
    <w:rsid w:val="001B269F"/>
    <w:rsid w:val="001B28B5"/>
    <w:rsid w:val="001B2975"/>
    <w:rsid w:val="001B77CD"/>
    <w:rsid w:val="001C122D"/>
    <w:rsid w:val="001D0BA7"/>
    <w:rsid w:val="001D2A82"/>
    <w:rsid w:val="001D355F"/>
    <w:rsid w:val="001D569B"/>
    <w:rsid w:val="001E047C"/>
    <w:rsid w:val="001E0EA3"/>
    <w:rsid w:val="001E4995"/>
    <w:rsid w:val="001F09DC"/>
    <w:rsid w:val="001F43E6"/>
    <w:rsid w:val="001F5FBD"/>
    <w:rsid w:val="00213772"/>
    <w:rsid w:val="002160B1"/>
    <w:rsid w:val="00220749"/>
    <w:rsid w:val="002222F1"/>
    <w:rsid w:val="0022422C"/>
    <w:rsid w:val="0022468C"/>
    <w:rsid w:val="00224CD5"/>
    <w:rsid w:val="0022724E"/>
    <w:rsid w:val="00230666"/>
    <w:rsid w:val="00231153"/>
    <w:rsid w:val="00231288"/>
    <w:rsid w:val="0023252E"/>
    <w:rsid w:val="00232BBC"/>
    <w:rsid w:val="0023393E"/>
    <w:rsid w:val="00236736"/>
    <w:rsid w:val="0023750D"/>
    <w:rsid w:val="00241C31"/>
    <w:rsid w:val="00241FB3"/>
    <w:rsid w:val="0025512D"/>
    <w:rsid w:val="00263058"/>
    <w:rsid w:val="0026400E"/>
    <w:rsid w:val="002679D5"/>
    <w:rsid w:val="00267FFD"/>
    <w:rsid w:val="0027064B"/>
    <w:rsid w:val="002714FD"/>
    <w:rsid w:val="00272C43"/>
    <w:rsid w:val="00275F94"/>
    <w:rsid w:val="00276311"/>
    <w:rsid w:val="0027744D"/>
    <w:rsid w:val="00277C2D"/>
    <w:rsid w:val="002800F3"/>
    <w:rsid w:val="0028021C"/>
    <w:rsid w:val="00281B9C"/>
    <w:rsid w:val="00284C9B"/>
    <w:rsid w:val="0029247C"/>
    <w:rsid w:val="00294C0B"/>
    <w:rsid w:val="002A141B"/>
    <w:rsid w:val="002A26B6"/>
    <w:rsid w:val="002A6A4E"/>
    <w:rsid w:val="002B5A85"/>
    <w:rsid w:val="002B63A7"/>
    <w:rsid w:val="002C0DD6"/>
    <w:rsid w:val="002C3103"/>
    <w:rsid w:val="002C3C6F"/>
    <w:rsid w:val="002C5543"/>
    <w:rsid w:val="002D0F7F"/>
    <w:rsid w:val="002D4466"/>
    <w:rsid w:val="002E0198"/>
    <w:rsid w:val="002E0F23"/>
    <w:rsid w:val="002E1D7C"/>
    <w:rsid w:val="002E58F8"/>
    <w:rsid w:val="002E76F3"/>
    <w:rsid w:val="002E7E30"/>
    <w:rsid w:val="002F07C8"/>
    <w:rsid w:val="002F449B"/>
    <w:rsid w:val="002F4D86"/>
    <w:rsid w:val="002F5D69"/>
    <w:rsid w:val="002F6B35"/>
    <w:rsid w:val="002F7C77"/>
    <w:rsid w:val="00300CB3"/>
    <w:rsid w:val="00301A06"/>
    <w:rsid w:val="0030394B"/>
    <w:rsid w:val="003069E1"/>
    <w:rsid w:val="003072C6"/>
    <w:rsid w:val="00310D8E"/>
    <w:rsid w:val="003149CD"/>
    <w:rsid w:val="00315BBD"/>
    <w:rsid w:val="0031753A"/>
    <w:rsid w:val="00320293"/>
    <w:rsid w:val="00322CC2"/>
    <w:rsid w:val="003271DC"/>
    <w:rsid w:val="003300A3"/>
    <w:rsid w:val="003310BA"/>
    <w:rsid w:val="0033265A"/>
    <w:rsid w:val="00334B54"/>
    <w:rsid w:val="0033739E"/>
    <w:rsid w:val="00343733"/>
    <w:rsid w:val="003447D4"/>
    <w:rsid w:val="00355886"/>
    <w:rsid w:val="00355B55"/>
    <w:rsid w:val="00356814"/>
    <w:rsid w:val="00360EE2"/>
    <w:rsid w:val="00375174"/>
    <w:rsid w:val="00377129"/>
    <w:rsid w:val="0038019F"/>
    <w:rsid w:val="00381A20"/>
    <w:rsid w:val="00382071"/>
    <w:rsid w:val="00384691"/>
    <w:rsid w:val="00397B0D"/>
    <w:rsid w:val="003A2F25"/>
    <w:rsid w:val="003B2807"/>
    <w:rsid w:val="003C48B1"/>
    <w:rsid w:val="003C4C5F"/>
    <w:rsid w:val="003C56C7"/>
    <w:rsid w:val="003C68F2"/>
    <w:rsid w:val="003D138D"/>
    <w:rsid w:val="003D13E4"/>
    <w:rsid w:val="003D21B2"/>
    <w:rsid w:val="003D553D"/>
    <w:rsid w:val="003D5CFB"/>
    <w:rsid w:val="003E0927"/>
    <w:rsid w:val="003E2636"/>
    <w:rsid w:val="003E2E12"/>
    <w:rsid w:val="003E3B32"/>
    <w:rsid w:val="003E598C"/>
    <w:rsid w:val="003E7632"/>
    <w:rsid w:val="003F0200"/>
    <w:rsid w:val="003F2007"/>
    <w:rsid w:val="003F39CE"/>
    <w:rsid w:val="003F4617"/>
    <w:rsid w:val="00400760"/>
    <w:rsid w:val="00401108"/>
    <w:rsid w:val="00402651"/>
    <w:rsid w:val="00402927"/>
    <w:rsid w:val="00403781"/>
    <w:rsid w:val="00407993"/>
    <w:rsid w:val="00410207"/>
    <w:rsid w:val="00410FBE"/>
    <w:rsid w:val="0041107C"/>
    <w:rsid w:val="00411833"/>
    <w:rsid w:val="00412F64"/>
    <w:rsid w:val="00414B56"/>
    <w:rsid w:val="00417BEB"/>
    <w:rsid w:val="00420C5C"/>
    <w:rsid w:val="00422ECE"/>
    <w:rsid w:val="004258ED"/>
    <w:rsid w:val="004324FF"/>
    <w:rsid w:val="00432A55"/>
    <w:rsid w:val="0043557F"/>
    <w:rsid w:val="004357AC"/>
    <w:rsid w:val="00437260"/>
    <w:rsid w:val="004411C6"/>
    <w:rsid w:val="0044260A"/>
    <w:rsid w:val="00444D82"/>
    <w:rsid w:val="00452088"/>
    <w:rsid w:val="00453B8A"/>
    <w:rsid w:val="004564C6"/>
    <w:rsid w:val="004610CC"/>
    <w:rsid w:val="00461622"/>
    <w:rsid w:val="00462624"/>
    <w:rsid w:val="00465464"/>
    <w:rsid w:val="00465E87"/>
    <w:rsid w:val="0046660B"/>
    <w:rsid w:val="004731F8"/>
    <w:rsid w:val="0047562D"/>
    <w:rsid w:val="004769CE"/>
    <w:rsid w:val="0047786A"/>
    <w:rsid w:val="00477A65"/>
    <w:rsid w:val="00477CB6"/>
    <w:rsid w:val="00482DB3"/>
    <w:rsid w:val="0048782F"/>
    <w:rsid w:val="0049639A"/>
    <w:rsid w:val="004A0236"/>
    <w:rsid w:val="004A369A"/>
    <w:rsid w:val="004A3B3E"/>
    <w:rsid w:val="004B3424"/>
    <w:rsid w:val="004B353B"/>
    <w:rsid w:val="004B5544"/>
    <w:rsid w:val="004C1A53"/>
    <w:rsid w:val="004C2064"/>
    <w:rsid w:val="004C24D2"/>
    <w:rsid w:val="004C5777"/>
    <w:rsid w:val="004C6068"/>
    <w:rsid w:val="004D0173"/>
    <w:rsid w:val="004D1056"/>
    <w:rsid w:val="004E2144"/>
    <w:rsid w:val="004E21E2"/>
    <w:rsid w:val="004E293F"/>
    <w:rsid w:val="004E380D"/>
    <w:rsid w:val="004E7922"/>
    <w:rsid w:val="004F0DFC"/>
    <w:rsid w:val="004F2081"/>
    <w:rsid w:val="004F3441"/>
    <w:rsid w:val="004F41B2"/>
    <w:rsid w:val="004F4AFC"/>
    <w:rsid w:val="004F52A5"/>
    <w:rsid w:val="00500C8C"/>
    <w:rsid w:val="00501375"/>
    <w:rsid w:val="00501D3B"/>
    <w:rsid w:val="005022C9"/>
    <w:rsid w:val="0050779D"/>
    <w:rsid w:val="005130D9"/>
    <w:rsid w:val="005139EA"/>
    <w:rsid w:val="00520BBB"/>
    <w:rsid w:val="00525456"/>
    <w:rsid w:val="005277FD"/>
    <w:rsid w:val="005310B1"/>
    <w:rsid w:val="00532236"/>
    <w:rsid w:val="00534FEC"/>
    <w:rsid w:val="00541DFE"/>
    <w:rsid w:val="00543536"/>
    <w:rsid w:val="00543E6C"/>
    <w:rsid w:val="00544184"/>
    <w:rsid w:val="0054465A"/>
    <w:rsid w:val="00545615"/>
    <w:rsid w:val="00545A40"/>
    <w:rsid w:val="00547C41"/>
    <w:rsid w:val="00552DE0"/>
    <w:rsid w:val="005552FD"/>
    <w:rsid w:val="00557B69"/>
    <w:rsid w:val="00557B7F"/>
    <w:rsid w:val="005600E5"/>
    <w:rsid w:val="00561DAF"/>
    <w:rsid w:val="00564E8F"/>
    <w:rsid w:val="005728A4"/>
    <w:rsid w:val="0057323F"/>
    <w:rsid w:val="005763FC"/>
    <w:rsid w:val="00576EB4"/>
    <w:rsid w:val="00577890"/>
    <w:rsid w:val="00582768"/>
    <w:rsid w:val="00583461"/>
    <w:rsid w:val="005856A4"/>
    <w:rsid w:val="00590730"/>
    <w:rsid w:val="0059288A"/>
    <w:rsid w:val="00593B3F"/>
    <w:rsid w:val="00594606"/>
    <w:rsid w:val="00595623"/>
    <w:rsid w:val="00595DFE"/>
    <w:rsid w:val="005A2AA4"/>
    <w:rsid w:val="005A3051"/>
    <w:rsid w:val="005A53FE"/>
    <w:rsid w:val="005A6DC7"/>
    <w:rsid w:val="005B23D4"/>
    <w:rsid w:val="005B7D22"/>
    <w:rsid w:val="005C029E"/>
    <w:rsid w:val="005C540F"/>
    <w:rsid w:val="005C5BCD"/>
    <w:rsid w:val="005D01F5"/>
    <w:rsid w:val="005D3829"/>
    <w:rsid w:val="005D5BF5"/>
    <w:rsid w:val="005D69B2"/>
    <w:rsid w:val="005E085D"/>
    <w:rsid w:val="005E22A7"/>
    <w:rsid w:val="005E3FA7"/>
    <w:rsid w:val="005E746F"/>
    <w:rsid w:val="005E7963"/>
    <w:rsid w:val="005F1315"/>
    <w:rsid w:val="005F218C"/>
    <w:rsid w:val="005F3B35"/>
    <w:rsid w:val="005F4523"/>
    <w:rsid w:val="005F5E9F"/>
    <w:rsid w:val="00601D4D"/>
    <w:rsid w:val="006021B4"/>
    <w:rsid w:val="0060275F"/>
    <w:rsid w:val="00605B5B"/>
    <w:rsid w:val="006062D8"/>
    <w:rsid w:val="00606827"/>
    <w:rsid w:val="00606C76"/>
    <w:rsid w:val="00613878"/>
    <w:rsid w:val="006177FE"/>
    <w:rsid w:val="00620262"/>
    <w:rsid w:val="00621B4C"/>
    <w:rsid w:val="00625483"/>
    <w:rsid w:val="00627C52"/>
    <w:rsid w:val="006306C7"/>
    <w:rsid w:val="00630937"/>
    <w:rsid w:val="00630E30"/>
    <w:rsid w:val="00634BF9"/>
    <w:rsid w:val="00640C98"/>
    <w:rsid w:val="00643718"/>
    <w:rsid w:val="006460D9"/>
    <w:rsid w:val="00653819"/>
    <w:rsid w:val="00653B84"/>
    <w:rsid w:val="00653BDC"/>
    <w:rsid w:val="00653DC6"/>
    <w:rsid w:val="00653E0D"/>
    <w:rsid w:val="00653EDA"/>
    <w:rsid w:val="00672A1B"/>
    <w:rsid w:val="0067439B"/>
    <w:rsid w:val="006815C8"/>
    <w:rsid w:val="00682076"/>
    <w:rsid w:val="00683A37"/>
    <w:rsid w:val="006865C8"/>
    <w:rsid w:val="00686B48"/>
    <w:rsid w:val="00687038"/>
    <w:rsid w:val="0068714E"/>
    <w:rsid w:val="00691FA0"/>
    <w:rsid w:val="006929F7"/>
    <w:rsid w:val="0069374A"/>
    <w:rsid w:val="00693DEA"/>
    <w:rsid w:val="00694AB8"/>
    <w:rsid w:val="00695B00"/>
    <w:rsid w:val="00695EF7"/>
    <w:rsid w:val="0069699D"/>
    <w:rsid w:val="006A501F"/>
    <w:rsid w:val="006B2C51"/>
    <w:rsid w:val="006B6361"/>
    <w:rsid w:val="006D0193"/>
    <w:rsid w:val="006D360C"/>
    <w:rsid w:val="006D5AC9"/>
    <w:rsid w:val="006D66ED"/>
    <w:rsid w:val="006E2709"/>
    <w:rsid w:val="006E45AD"/>
    <w:rsid w:val="006E6335"/>
    <w:rsid w:val="006E786B"/>
    <w:rsid w:val="006F7257"/>
    <w:rsid w:val="006F7CE1"/>
    <w:rsid w:val="007002B1"/>
    <w:rsid w:val="007032FB"/>
    <w:rsid w:val="00704EB7"/>
    <w:rsid w:val="0070512F"/>
    <w:rsid w:val="00705742"/>
    <w:rsid w:val="007104FE"/>
    <w:rsid w:val="00711445"/>
    <w:rsid w:val="00711ED8"/>
    <w:rsid w:val="007121A2"/>
    <w:rsid w:val="00713981"/>
    <w:rsid w:val="007155A1"/>
    <w:rsid w:val="007176D6"/>
    <w:rsid w:val="00722FF1"/>
    <w:rsid w:val="00727D54"/>
    <w:rsid w:val="007319F0"/>
    <w:rsid w:val="0073362C"/>
    <w:rsid w:val="007344C5"/>
    <w:rsid w:val="00734959"/>
    <w:rsid w:val="00735137"/>
    <w:rsid w:val="0073520D"/>
    <w:rsid w:val="00735F4E"/>
    <w:rsid w:val="00736AC2"/>
    <w:rsid w:val="0074418C"/>
    <w:rsid w:val="0075251A"/>
    <w:rsid w:val="0076319A"/>
    <w:rsid w:val="00766FC3"/>
    <w:rsid w:val="00774D17"/>
    <w:rsid w:val="00775927"/>
    <w:rsid w:val="00780024"/>
    <w:rsid w:val="00780226"/>
    <w:rsid w:val="00781AB4"/>
    <w:rsid w:val="00787B0F"/>
    <w:rsid w:val="007923B7"/>
    <w:rsid w:val="00792616"/>
    <w:rsid w:val="007926BB"/>
    <w:rsid w:val="0079344C"/>
    <w:rsid w:val="00794E04"/>
    <w:rsid w:val="007A0283"/>
    <w:rsid w:val="007A1853"/>
    <w:rsid w:val="007A6B97"/>
    <w:rsid w:val="007B02C9"/>
    <w:rsid w:val="007B0AB4"/>
    <w:rsid w:val="007C02C7"/>
    <w:rsid w:val="007C21EE"/>
    <w:rsid w:val="007C4BBE"/>
    <w:rsid w:val="007D0D8E"/>
    <w:rsid w:val="007D1219"/>
    <w:rsid w:val="007D3A2E"/>
    <w:rsid w:val="007D40A6"/>
    <w:rsid w:val="007D6652"/>
    <w:rsid w:val="007D7744"/>
    <w:rsid w:val="007E0834"/>
    <w:rsid w:val="007E343D"/>
    <w:rsid w:val="007E6762"/>
    <w:rsid w:val="007E6967"/>
    <w:rsid w:val="007F4383"/>
    <w:rsid w:val="007F4946"/>
    <w:rsid w:val="00801503"/>
    <w:rsid w:val="00801601"/>
    <w:rsid w:val="00803A4B"/>
    <w:rsid w:val="0081032E"/>
    <w:rsid w:val="00810991"/>
    <w:rsid w:val="00814A9B"/>
    <w:rsid w:val="00814F66"/>
    <w:rsid w:val="00817C9E"/>
    <w:rsid w:val="008205AF"/>
    <w:rsid w:val="008225E5"/>
    <w:rsid w:val="00831053"/>
    <w:rsid w:val="008314D2"/>
    <w:rsid w:val="0083254D"/>
    <w:rsid w:val="00836249"/>
    <w:rsid w:val="00836F00"/>
    <w:rsid w:val="00837662"/>
    <w:rsid w:val="00837C5E"/>
    <w:rsid w:val="00844A9D"/>
    <w:rsid w:val="00846192"/>
    <w:rsid w:val="00846F95"/>
    <w:rsid w:val="00850806"/>
    <w:rsid w:val="008539DC"/>
    <w:rsid w:val="00856A1B"/>
    <w:rsid w:val="008621C3"/>
    <w:rsid w:val="00865486"/>
    <w:rsid w:val="00867AE6"/>
    <w:rsid w:val="00873CE4"/>
    <w:rsid w:val="00876275"/>
    <w:rsid w:val="00880543"/>
    <w:rsid w:val="00882B99"/>
    <w:rsid w:val="00887C79"/>
    <w:rsid w:val="00890603"/>
    <w:rsid w:val="008939C3"/>
    <w:rsid w:val="008A212C"/>
    <w:rsid w:val="008A295B"/>
    <w:rsid w:val="008A38D6"/>
    <w:rsid w:val="008A43E4"/>
    <w:rsid w:val="008A6604"/>
    <w:rsid w:val="008B5415"/>
    <w:rsid w:val="008B5482"/>
    <w:rsid w:val="008C11F4"/>
    <w:rsid w:val="008C2BEC"/>
    <w:rsid w:val="008C6D0E"/>
    <w:rsid w:val="008D09D2"/>
    <w:rsid w:val="008D39C5"/>
    <w:rsid w:val="008D462F"/>
    <w:rsid w:val="008E09F0"/>
    <w:rsid w:val="008E1532"/>
    <w:rsid w:val="008E16F9"/>
    <w:rsid w:val="008E1D89"/>
    <w:rsid w:val="008E3E3E"/>
    <w:rsid w:val="008E4BC8"/>
    <w:rsid w:val="008E517B"/>
    <w:rsid w:val="008E6962"/>
    <w:rsid w:val="008E7EDA"/>
    <w:rsid w:val="008F027F"/>
    <w:rsid w:val="008F5F87"/>
    <w:rsid w:val="008F6E39"/>
    <w:rsid w:val="00900A34"/>
    <w:rsid w:val="00903196"/>
    <w:rsid w:val="00906DE4"/>
    <w:rsid w:val="00907073"/>
    <w:rsid w:val="0090797A"/>
    <w:rsid w:val="0091569A"/>
    <w:rsid w:val="009208F5"/>
    <w:rsid w:val="00920DDE"/>
    <w:rsid w:val="00923B20"/>
    <w:rsid w:val="00927D51"/>
    <w:rsid w:val="00932272"/>
    <w:rsid w:val="00932862"/>
    <w:rsid w:val="00935D60"/>
    <w:rsid w:val="009405DA"/>
    <w:rsid w:val="009447BB"/>
    <w:rsid w:val="00944C48"/>
    <w:rsid w:val="00946335"/>
    <w:rsid w:val="00946EF9"/>
    <w:rsid w:val="009513C4"/>
    <w:rsid w:val="00952459"/>
    <w:rsid w:val="00954AB5"/>
    <w:rsid w:val="00955E55"/>
    <w:rsid w:val="00962200"/>
    <w:rsid w:val="009625AF"/>
    <w:rsid w:val="00966F54"/>
    <w:rsid w:val="009759AA"/>
    <w:rsid w:val="00975E61"/>
    <w:rsid w:val="00976E31"/>
    <w:rsid w:val="00977C63"/>
    <w:rsid w:val="00980087"/>
    <w:rsid w:val="00980C0B"/>
    <w:rsid w:val="0098408C"/>
    <w:rsid w:val="0098524F"/>
    <w:rsid w:val="00986246"/>
    <w:rsid w:val="00987ABE"/>
    <w:rsid w:val="00987AC1"/>
    <w:rsid w:val="009906C7"/>
    <w:rsid w:val="0099109B"/>
    <w:rsid w:val="009963CD"/>
    <w:rsid w:val="009A4AEC"/>
    <w:rsid w:val="009A5627"/>
    <w:rsid w:val="009B266D"/>
    <w:rsid w:val="009B5CBF"/>
    <w:rsid w:val="009C184A"/>
    <w:rsid w:val="009C2CA5"/>
    <w:rsid w:val="009C3738"/>
    <w:rsid w:val="009C5A80"/>
    <w:rsid w:val="009D209F"/>
    <w:rsid w:val="009D2972"/>
    <w:rsid w:val="009D3D35"/>
    <w:rsid w:val="009D3E45"/>
    <w:rsid w:val="009E0EE6"/>
    <w:rsid w:val="009E166C"/>
    <w:rsid w:val="009E245E"/>
    <w:rsid w:val="009E26B5"/>
    <w:rsid w:val="009E6ED0"/>
    <w:rsid w:val="009E780B"/>
    <w:rsid w:val="009E7905"/>
    <w:rsid w:val="009F351F"/>
    <w:rsid w:val="009F3F89"/>
    <w:rsid w:val="009F480E"/>
    <w:rsid w:val="009F5F02"/>
    <w:rsid w:val="009F7F2C"/>
    <w:rsid w:val="00A022A2"/>
    <w:rsid w:val="00A02D15"/>
    <w:rsid w:val="00A06075"/>
    <w:rsid w:val="00A0620A"/>
    <w:rsid w:val="00A11403"/>
    <w:rsid w:val="00A116D7"/>
    <w:rsid w:val="00A1265E"/>
    <w:rsid w:val="00A2660F"/>
    <w:rsid w:val="00A26B0D"/>
    <w:rsid w:val="00A33D9C"/>
    <w:rsid w:val="00A3511C"/>
    <w:rsid w:val="00A3735A"/>
    <w:rsid w:val="00A425D5"/>
    <w:rsid w:val="00A42F1B"/>
    <w:rsid w:val="00A546BC"/>
    <w:rsid w:val="00A55989"/>
    <w:rsid w:val="00A5694A"/>
    <w:rsid w:val="00A5750D"/>
    <w:rsid w:val="00A63055"/>
    <w:rsid w:val="00A63DA4"/>
    <w:rsid w:val="00A64156"/>
    <w:rsid w:val="00A64382"/>
    <w:rsid w:val="00A75742"/>
    <w:rsid w:val="00A75CD5"/>
    <w:rsid w:val="00A83DA7"/>
    <w:rsid w:val="00A83DF3"/>
    <w:rsid w:val="00A85915"/>
    <w:rsid w:val="00A85E9A"/>
    <w:rsid w:val="00A952AB"/>
    <w:rsid w:val="00A9783D"/>
    <w:rsid w:val="00AA45E6"/>
    <w:rsid w:val="00AA4A74"/>
    <w:rsid w:val="00AA5A37"/>
    <w:rsid w:val="00AB489C"/>
    <w:rsid w:val="00AB50C1"/>
    <w:rsid w:val="00AB65CE"/>
    <w:rsid w:val="00AB65EC"/>
    <w:rsid w:val="00AB6936"/>
    <w:rsid w:val="00AC0C3B"/>
    <w:rsid w:val="00AC14DE"/>
    <w:rsid w:val="00AC2D63"/>
    <w:rsid w:val="00AC4099"/>
    <w:rsid w:val="00AD03D8"/>
    <w:rsid w:val="00AD0711"/>
    <w:rsid w:val="00AD704E"/>
    <w:rsid w:val="00AE1CFE"/>
    <w:rsid w:val="00AE1FF6"/>
    <w:rsid w:val="00AE3BCD"/>
    <w:rsid w:val="00AE4C44"/>
    <w:rsid w:val="00AE5FE0"/>
    <w:rsid w:val="00AE60B7"/>
    <w:rsid w:val="00AF1C02"/>
    <w:rsid w:val="00AF2AB7"/>
    <w:rsid w:val="00AF2B1C"/>
    <w:rsid w:val="00AF33BD"/>
    <w:rsid w:val="00AF4D3F"/>
    <w:rsid w:val="00B016D0"/>
    <w:rsid w:val="00B0300B"/>
    <w:rsid w:val="00B05457"/>
    <w:rsid w:val="00B128A0"/>
    <w:rsid w:val="00B1571C"/>
    <w:rsid w:val="00B20240"/>
    <w:rsid w:val="00B23281"/>
    <w:rsid w:val="00B27571"/>
    <w:rsid w:val="00B3158D"/>
    <w:rsid w:val="00B3413F"/>
    <w:rsid w:val="00B36C05"/>
    <w:rsid w:val="00B375C0"/>
    <w:rsid w:val="00B37774"/>
    <w:rsid w:val="00B4164B"/>
    <w:rsid w:val="00B46757"/>
    <w:rsid w:val="00B47291"/>
    <w:rsid w:val="00B47491"/>
    <w:rsid w:val="00B51444"/>
    <w:rsid w:val="00B516E6"/>
    <w:rsid w:val="00B5409A"/>
    <w:rsid w:val="00B54997"/>
    <w:rsid w:val="00B54C8F"/>
    <w:rsid w:val="00B55574"/>
    <w:rsid w:val="00B55B56"/>
    <w:rsid w:val="00B63C49"/>
    <w:rsid w:val="00B6525D"/>
    <w:rsid w:val="00B65ABA"/>
    <w:rsid w:val="00B6790F"/>
    <w:rsid w:val="00B67F4E"/>
    <w:rsid w:val="00B7101B"/>
    <w:rsid w:val="00B71B3B"/>
    <w:rsid w:val="00B75663"/>
    <w:rsid w:val="00B81E22"/>
    <w:rsid w:val="00B8450F"/>
    <w:rsid w:val="00B85385"/>
    <w:rsid w:val="00B85445"/>
    <w:rsid w:val="00B87D61"/>
    <w:rsid w:val="00B90CE8"/>
    <w:rsid w:val="00B93948"/>
    <w:rsid w:val="00B95417"/>
    <w:rsid w:val="00BA08FF"/>
    <w:rsid w:val="00BA4BC7"/>
    <w:rsid w:val="00BA55B7"/>
    <w:rsid w:val="00BA5E47"/>
    <w:rsid w:val="00BA727E"/>
    <w:rsid w:val="00BA7D57"/>
    <w:rsid w:val="00BB156E"/>
    <w:rsid w:val="00BB3330"/>
    <w:rsid w:val="00BB47D7"/>
    <w:rsid w:val="00BB4A62"/>
    <w:rsid w:val="00BB5C24"/>
    <w:rsid w:val="00BB6DA8"/>
    <w:rsid w:val="00BC01C1"/>
    <w:rsid w:val="00BC252C"/>
    <w:rsid w:val="00BC5A34"/>
    <w:rsid w:val="00BC6046"/>
    <w:rsid w:val="00BD1204"/>
    <w:rsid w:val="00BD17F5"/>
    <w:rsid w:val="00BD1821"/>
    <w:rsid w:val="00BD2CD8"/>
    <w:rsid w:val="00BD31F8"/>
    <w:rsid w:val="00BD6E05"/>
    <w:rsid w:val="00BE13DB"/>
    <w:rsid w:val="00BE2B79"/>
    <w:rsid w:val="00BE54D0"/>
    <w:rsid w:val="00BF6B6C"/>
    <w:rsid w:val="00BF7251"/>
    <w:rsid w:val="00BF7F28"/>
    <w:rsid w:val="00C01909"/>
    <w:rsid w:val="00C01946"/>
    <w:rsid w:val="00C02D7E"/>
    <w:rsid w:val="00C04C11"/>
    <w:rsid w:val="00C05787"/>
    <w:rsid w:val="00C1222D"/>
    <w:rsid w:val="00C13059"/>
    <w:rsid w:val="00C1527F"/>
    <w:rsid w:val="00C156D4"/>
    <w:rsid w:val="00C167A3"/>
    <w:rsid w:val="00C2181C"/>
    <w:rsid w:val="00C2657D"/>
    <w:rsid w:val="00C37CA4"/>
    <w:rsid w:val="00C416E1"/>
    <w:rsid w:val="00C47BF8"/>
    <w:rsid w:val="00C47EA7"/>
    <w:rsid w:val="00C51851"/>
    <w:rsid w:val="00C51B1C"/>
    <w:rsid w:val="00C53DCE"/>
    <w:rsid w:val="00C550E7"/>
    <w:rsid w:val="00C55ED9"/>
    <w:rsid w:val="00C61D57"/>
    <w:rsid w:val="00C655F2"/>
    <w:rsid w:val="00C65B61"/>
    <w:rsid w:val="00C65C0C"/>
    <w:rsid w:val="00C65EE9"/>
    <w:rsid w:val="00C67B0C"/>
    <w:rsid w:val="00C70A07"/>
    <w:rsid w:val="00C70DD5"/>
    <w:rsid w:val="00C70E53"/>
    <w:rsid w:val="00C71AF1"/>
    <w:rsid w:val="00C72979"/>
    <w:rsid w:val="00C75642"/>
    <w:rsid w:val="00C77621"/>
    <w:rsid w:val="00C80184"/>
    <w:rsid w:val="00C81529"/>
    <w:rsid w:val="00C81BA6"/>
    <w:rsid w:val="00C836BE"/>
    <w:rsid w:val="00C8377C"/>
    <w:rsid w:val="00C86FE1"/>
    <w:rsid w:val="00C877CD"/>
    <w:rsid w:val="00C902E9"/>
    <w:rsid w:val="00C908B7"/>
    <w:rsid w:val="00C91D81"/>
    <w:rsid w:val="00C92A42"/>
    <w:rsid w:val="00C93F73"/>
    <w:rsid w:val="00C94809"/>
    <w:rsid w:val="00C95E44"/>
    <w:rsid w:val="00C97E81"/>
    <w:rsid w:val="00CA18F2"/>
    <w:rsid w:val="00CA20CD"/>
    <w:rsid w:val="00CA41CE"/>
    <w:rsid w:val="00CA4871"/>
    <w:rsid w:val="00CA6722"/>
    <w:rsid w:val="00CA6D4E"/>
    <w:rsid w:val="00CA7B4B"/>
    <w:rsid w:val="00CB0864"/>
    <w:rsid w:val="00CB0C31"/>
    <w:rsid w:val="00CB36A8"/>
    <w:rsid w:val="00CB4EC0"/>
    <w:rsid w:val="00CC139A"/>
    <w:rsid w:val="00CC15CE"/>
    <w:rsid w:val="00CC1E7A"/>
    <w:rsid w:val="00CC4F19"/>
    <w:rsid w:val="00CC4F64"/>
    <w:rsid w:val="00CD058C"/>
    <w:rsid w:val="00CD2B01"/>
    <w:rsid w:val="00CD3B98"/>
    <w:rsid w:val="00CD3E08"/>
    <w:rsid w:val="00CD4216"/>
    <w:rsid w:val="00CD733F"/>
    <w:rsid w:val="00CD79D3"/>
    <w:rsid w:val="00CE0942"/>
    <w:rsid w:val="00CE6FC8"/>
    <w:rsid w:val="00CE7CA5"/>
    <w:rsid w:val="00CF1D81"/>
    <w:rsid w:val="00CF2DC9"/>
    <w:rsid w:val="00CF4616"/>
    <w:rsid w:val="00CF7CB6"/>
    <w:rsid w:val="00D000E6"/>
    <w:rsid w:val="00D06C9A"/>
    <w:rsid w:val="00D127E9"/>
    <w:rsid w:val="00D14FC2"/>
    <w:rsid w:val="00D1611C"/>
    <w:rsid w:val="00D169A9"/>
    <w:rsid w:val="00D178E7"/>
    <w:rsid w:val="00D2426C"/>
    <w:rsid w:val="00D251D5"/>
    <w:rsid w:val="00D25CC8"/>
    <w:rsid w:val="00D25FF6"/>
    <w:rsid w:val="00D311AB"/>
    <w:rsid w:val="00D325A8"/>
    <w:rsid w:val="00D33EC8"/>
    <w:rsid w:val="00D345C8"/>
    <w:rsid w:val="00D36D54"/>
    <w:rsid w:val="00D442AD"/>
    <w:rsid w:val="00D54CD1"/>
    <w:rsid w:val="00D5618A"/>
    <w:rsid w:val="00D5784B"/>
    <w:rsid w:val="00D631A9"/>
    <w:rsid w:val="00D63EFB"/>
    <w:rsid w:val="00D658AF"/>
    <w:rsid w:val="00D66188"/>
    <w:rsid w:val="00D729AD"/>
    <w:rsid w:val="00D80AC7"/>
    <w:rsid w:val="00D83DE9"/>
    <w:rsid w:val="00D8450D"/>
    <w:rsid w:val="00D87BF9"/>
    <w:rsid w:val="00D91D3B"/>
    <w:rsid w:val="00D92941"/>
    <w:rsid w:val="00D9440A"/>
    <w:rsid w:val="00D95AF9"/>
    <w:rsid w:val="00DA07D1"/>
    <w:rsid w:val="00DA09C9"/>
    <w:rsid w:val="00DA1822"/>
    <w:rsid w:val="00DA2671"/>
    <w:rsid w:val="00DA2CC0"/>
    <w:rsid w:val="00DB0CE9"/>
    <w:rsid w:val="00DB0EF3"/>
    <w:rsid w:val="00DB1CA4"/>
    <w:rsid w:val="00DB520A"/>
    <w:rsid w:val="00DB5E1F"/>
    <w:rsid w:val="00DC19D8"/>
    <w:rsid w:val="00DC2613"/>
    <w:rsid w:val="00DC3EB5"/>
    <w:rsid w:val="00DC4512"/>
    <w:rsid w:val="00DC6A2C"/>
    <w:rsid w:val="00DD161A"/>
    <w:rsid w:val="00DD3691"/>
    <w:rsid w:val="00DD4B55"/>
    <w:rsid w:val="00DE0833"/>
    <w:rsid w:val="00DE0A42"/>
    <w:rsid w:val="00DE1E90"/>
    <w:rsid w:val="00DE24E6"/>
    <w:rsid w:val="00DF07AD"/>
    <w:rsid w:val="00DF1C12"/>
    <w:rsid w:val="00DF2EBA"/>
    <w:rsid w:val="00DF3364"/>
    <w:rsid w:val="00E055BB"/>
    <w:rsid w:val="00E11988"/>
    <w:rsid w:val="00E147E0"/>
    <w:rsid w:val="00E15DA9"/>
    <w:rsid w:val="00E2095D"/>
    <w:rsid w:val="00E30414"/>
    <w:rsid w:val="00E34742"/>
    <w:rsid w:val="00E34771"/>
    <w:rsid w:val="00E35D06"/>
    <w:rsid w:val="00E37C2D"/>
    <w:rsid w:val="00E40769"/>
    <w:rsid w:val="00E53161"/>
    <w:rsid w:val="00E60F12"/>
    <w:rsid w:val="00E6512C"/>
    <w:rsid w:val="00E652FB"/>
    <w:rsid w:val="00E66C20"/>
    <w:rsid w:val="00E71C46"/>
    <w:rsid w:val="00E75ED2"/>
    <w:rsid w:val="00E778BC"/>
    <w:rsid w:val="00E81CEE"/>
    <w:rsid w:val="00E8280C"/>
    <w:rsid w:val="00E83E4C"/>
    <w:rsid w:val="00E91933"/>
    <w:rsid w:val="00E92A81"/>
    <w:rsid w:val="00E934FB"/>
    <w:rsid w:val="00E969B1"/>
    <w:rsid w:val="00E96D34"/>
    <w:rsid w:val="00EA07F6"/>
    <w:rsid w:val="00EA3A20"/>
    <w:rsid w:val="00EB1CA6"/>
    <w:rsid w:val="00EB6552"/>
    <w:rsid w:val="00EC08DA"/>
    <w:rsid w:val="00EC18E6"/>
    <w:rsid w:val="00EC1984"/>
    <w:rsid w:val="00EC234C"/>
    <w:rsid w:val="00EC739D"/>
    <w:rsid w:val="00ED34DA"/>
    <w:rsid w:val="00ED3529"/>
    <w:rsid w:val="00ED4D17"/>
    <w:rsid w:val="00EE3ED0"/>
    <w:rsid w:val="00EE6366"/>
    <w:rsid w:val="00EE6CD3"/>
    <w:rsid w:val="00EF1F07"/>
    <w:rsid w:val="00EF20D7"/>
    <w:rsid w:val="00EF3419"/>
    <w:rsid w:val="00EF3905"/>
    <w:rsid w:val="00F0119C"/>
    <w:rsid w:val="00F02BDB"/>
    <w:rsid w:val="00F02FD6"/>
    <w:rsid w:val="00F0367A"/>
    <w:rsid w:val="00F03818"/>
    <w:rsid w:val="00F0441B"/>
    <w:rsid w:val="00F07623"/>
    <w:rsid w:val="00F25DDA"/>
    <w:rsid w:val="00F260DB"/>
    <w:rsid w:val="00F263B7"/>
    <w:rsid w:val="00F30870"/>
    <w:rsid w:val="00F3136B"/>
    <w:rsid w:val="00F314F1"/>
    <w:rsid w:val="00F327EA"/>
    <w:rsid w:val="00F33641"/>
    <w:rsid w:val="00F33FF2"/>
    <w:rsid w:val="00F34E57"/>
    <w:rsid w:val="00F41A7F"/>
    <w:rsid w:val="00F42842"/>
    <w:rsid w:val="00F463D3"/>
    <w:rsid w:val="00F46E40"/>
    <w:rsid w:val="00F4760A"/>
    <w:rsid w:val="00F526E9"/>
    <w:rsid w:val="00F52B8E"/>
    <w:rsid w:val="00F53CFD"/>
    <w:rsid w:val="00F54AF5"/>
    <w:rsid w:val="00F557E3"/>
    <w:rsid w:val="00F56139"/>
    <w:rsid w:val="00F61E78"/>
    <w:rsid w:val="00F635C5"/>
    <w:rsid w:val="00F64379"/>
    <w:rsid w:val="00F736E3"/>
    <w:rsid w:val="00F767E8"/>
    <w:rsid w:val="00F77E88"/>
    <w:rsid w:val="00F80BC0"/>
    <w:rsid w:val="00F856B5"/>
    <w:rsid w:val="00F86A3F"/>
    <w:rsid w:val="00F86E75"/>
    <w:rsid w:val="00F90F4D"/>
    <w:rsid w:val="00F91297"/>
    <w:rsid w:val="00F9133B"/>
    <w:rsid w:val="00F97730"/>
    <w:rsid w:val="00FA11AE"/>
    <w:rsid w:val="00FA4BCE"/>
    <w:rsid w:val="00FB32A4"/>
    <w:rsid w:val="00FB594D"/>
    <w:rsid w:val="00FB635F"/>
    <w:rsid w:val="00FB681E"/>
    <w:rsid w:val="00FC0BB7"/>
    <w:rsid w:val="00FC2BB8"/>
    <w:rsid w:val="00FC49BB"/>
    <w:rsid w:val="00FD03C7"/>
    <w:rsid w:val="00FD616B"/>
    <w:rsid w:val="00FD6FFD"/>
    <w:rsid w:val="00FE367F"/>
    <w:rsid w:val="00FE7E59"/>
    <w:rsid w:val="00FF0C78"/>
    <w:rsid w:val="00FF27B1"/>
    <w:rsid w:val="00FF29DC"/>
    <w:rsid w:val="00FF54C0"/>
    <w:rsid w:val="00FF647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8"/>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9"/>
    <w:qFormat/>
    <w:rsid w:val="005F1315"/>
    <w:pPr>
      <w:keepNext/>
      <w:keepLines/>
      <w:spacing w:before="360" w:after="36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99"/>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F1315"/>
    <w:rPr>
      <w:rFonts w:ascii="Arial" w:hAnsi="Arial"/>
      <w:bCs/>
      <w:color w:val="AF272F"/>
      <w:sz w:val="44"/>
      <w:szCs w:val="44"/>
      <w:lang w:eastAsia="en-US"/>
    </w:rPr>
  </w:style>
  <w:style w:type="character" w:customStyle="1" w:styleId="Heading2Char">
    <w:name w:val="Heading 2 Char"/>
    <w:link w:val="Heading2"/>
    <w:uiPriority w:val="99"/>
    <w:rsid w:val="0098524F"/>
    <w:rPr>
      <w:rFonts w:ascii="Arial" w:hAnsi="Arial"/>
      <w:b/>
      <w:color w:val="AF272F"/>
      <w:sz w:val="28"/>
      <w:szCs w:val="28"/>
      <w:lang w:eastAsia="en-US"/>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B55B56"/>
    <w:pPr>
      <w:spacing w:before="120" w:after="120" w:line="270" w:lineRule="atLeast"/>
    </w:pPr>
    <w:rPr>
      <w:rFonts w:ascii="Arial" w:eastAsia="Times" w:hAnsi="Arial"/>
      <w:lang w:eastAsia="en-US"/>
    </w:rPr>
  </w:style>
  <w:style w:type="paragraph" w:customStyle="1" w:styleId="DHHSbullet1">
    <w:name w:val="DHHS bullet 1"/>
    <w:basedOn w:val="DHHSbody"/>
    <w:qFormat/>
    <w:rsid w:val="00B55B5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A3511C"/>
    <w:pPr>
      <w:spacing w:before="80" w:after="60"/>
    </w:pPr>
    <w:rPr>
      <w:rFonts w:ascii="Arial" w:hAnsi="Arial"/>
      <w:color w:val="AF272F"/>
      <w:sz w:val="24"/>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BodycopyItalic">
    <w:name w:val="Bodycopy Italic"/>
    <w:uiPriority w:val="99"/>
    <w:rsid w:val="00613878"/>
    <w:rPr>
      <w:i/>
    </w:rPr>
  </w:style>
  <w:style w:type="paragraph" w:customStyle="1" w:styleId="ColorfulList-Accent11">
    <w:name w:val="Colorful List - Accent 11"/>
    <w:basedOn w:val="Normal"/>
    <w:uiPriority w:val="99"/>
    <w:rsid w:val="00613878"/>
    <w:pPr>
      <w:ind w:left="720"/>
      <w:contextualSpacing/>
    </w:pPr>
    <w:rPr>
      <w:rFonts w:eastAsia="MS Mincho"/>
      <w:sz w:val="24"/>
      <w:szCs w:val="24"/>
      <w:lang w:val="en-US"/>
    </w:rPr>
  </w:style>
  <w:style w:type="paragraph" w:styleId="ListParagraph">
    <w:name w:val="List Paragraph"/>
    <w:basedOn w:val="Normal"/>
    <w:uiPriority w:val="34"/>
    <w:qFormat/>
    <w:rsid w:val="00613878"/>
    <w:pPr>
      <w:ind w:left="720"/>
      <w:contextualSpacing/>
    </w:pPr>
    <w:rPr>
      <w:rFonts w:eastAsia="MS Mincho"/>
      <w:sz w:val="24"/>
      <w:szCs w:val="24"/>
      <w:lang w:val="en-US"/>
    </w:rPr>
  </w:style>
  <w:style w:type="character" w:customStyle="1" w:styleId="CharChar6">
    <w:name w:val="Char Char6"/>
    <w:rsid w:val="00FF6471"/>
    <w:rPr>
      <w:rFonts w:ascii="Arial" w:eastAsia="Times New Roman" w:hAnsi="Arial" w:cs="Arial"/>
      <w:b/>
      <w:bCs/>
      <w:sz w:val="32"/>
      <w:szCs w:val="32"/>
      <w:lang w:eastAsia="en-AU"/>
    </w:rPr>
  </w:style>
  <w:style w:type="paragraph" w:customStyle="1" w:styleId="Body">
    <w:name w:val="Body"/>
    <w:basedOn w:val="Normal"/>
    <w:link w:val="BodyChar"/>
    <w:rsid w:val="00FF6471"/>
    <w:pPr>
      <w:suppressAutoHyphens/>
      <w:spacing w:after="160" w:line="260" w:lineRule="atLeast"/>
      <w:ind w:left="720"/>
    </w:pPr>
    <w:rPr>
      <w:rFonts w:ascii="Arial" w:hAnsi="Arial"/>
      <w:szCs w:val="24"/>
      <w:lang w:eastAsia="en-AU"/>
    </w:rPr>
  </w:style>
  <w:style w:type="paragraph" w:customStyle="1" w:styleId="DHHSfootnote">
    <w:name w:val="DHHS footnote"/>
    <w:link w:val="DHHSfootnoteChar"/>
    <w:uiPriority w:val="4"/>
    <w:rsid w:val="00FF6471"/>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FF6471"/>
    <w:rPr>
      <w:rFonts w:ascii="Arial" w:hAnsi="Arial"/>
      <w:sz w:val="16"/>
      <w:szCs w:val="16"/>
      <w:lang w:eastAsia="en-US"/>
    </w:rPr>
  </w:style>
  <w:style w:type="character" w:customStyle="1" w:styleId="DHHSfigurecaptionChar">
    <w:name w:val="DHHS figure caption Char"/>
    <w:link w:val="DHHSfigurecaption"/>
    <w:uiPriority w:val="4"/>
    <w:rsid w:val="00FF6471"/>
    <w:rPr>
      <w:rFonts w:ascii="Arial" w:hAnsi="Arial"/>
      <w:b/>
      <w:lang w:eastAsia="en-US"/>
    </w:rPr>
  </w:style>
  <w:style w:type="numbering" w:customStyle="1" w:styleId="Bullets">
    <w:name w:val="Bullets"/>
    <w:rsid w:val="00FF6471"/>
    <w:pPr>
      <w:numPr>
        <w:numId w:val="3"/>
      </w:numPr>
    </w:pPr>
  </w:style>
  <w:style w:type="numbering" w:customStyle="1" w:styleId="Numbers">
    <w:name w:val="Numbers"/>
    <w:rsid w:val="00FF6471"/>
    <w:pPr>
      <w:numPr>
        <w:numId w:val="4"/>
      </w:numPr>
    </w:pPr>
  </w:style>
  <w:style w:type="character" w:customStyle="1" w:styleId="BodyChar">
    <w:name w:val="Body Char"/>
    <w:link w:val="Body"/>
    <w:rsid w:val="00FF6471"/>
    <w:rPr>
      <w:rFonts w:ascii="Arial" w:hAnsi="Arial"/>
      <w:szCs w:val="24"/>
    </w:rPr>
  </w:style>
  <w:style w:type="paragraph" w:styleId="BalloonText">
    <w:name w:val="Balloon Text"/>
    <w:basedOn w:val="Normal"/>
    <w:link w:val="BalloonTextChar"/>
    <w:uiPriority w:val="99"/>
    <w:semiHidden/>
    <w:rsid w:val="00FF6471"/>
    <w:rPr>
      <w:rFonts w:ascii="Tahoma" w:hAnsi="Tahoma" w:cs="Tahoma"/>
      <w:sz w:val="16"/>
      <w:szCs w:val="16"/>
    </w:rPr>
  </w:style>
  <w:style w:type="character" w:customStyle="1" w:styleId="BalloonTextChar">
    <w:name w:val="Balloon Text Char"/>
    <w:link w:val="BalloonText"/>
    <w:uiPriority w:val="99"/>
    <w:semiHidden/>
    <w:rsid w:val="00FF6471"/>
    <w:rPr>
      <w:rFonts w:ascii="Tahoma" w:hAnsi="Tahoma" w:cs="Tahoma"/>
      <w:sz w:val="16"/>
      <w:szCs w:val="16"/>
      <w:lang w:eastAsia="en-US"/>
    </w:rPr>
  </w:style>
  <w:style w:type="character" w:styleId="CommentReference">
    <w:name w:val="annotation reference"/>
    <w:uiPriority w:val="99"/>
    <w:semiHidden/>
    <w:rsid w:val="00FF6471"/>
    <w:rPr>
      <w:rFonts w:cs="Times New Roman"/>
      <w:sz w:val="16"/>
      <w:szCs w:val="16"/>
    </w:rPr>
  </w:style>
  <w:style w:type="paragraph" w:styleId="CommentText">
    <w:name w:val="annotation text"/>
    <w:basedOn w:val="Normal"/>
    <w:link w:val="CommentTextChar"/>
    <w:uiPriority w:val="99"/>
    <w:rsid w:val="00FF6471"/>
    <w:rPr>
      <w:rFonts w:eastAsia="MS Mincho"/>
      <w:lang w:val="en-US"/>
    </w:rPr>
  </w:style>
  <w:style w:type="character" w:customStyle="1" w:styleId="CommentTextChar">
    <w:name w:val="Comment Text Char"/>
    <w:link w:val="CommentText"/>
    <w:uiPriority w:val="99"/>
    <w:rsid w:val="00FF6471"/>
    <w:rPr>
      <w:rFonts w:ascii="Cambria" w:eastAsia="MS Mincho" w:hAnsi="Cambria"/>
      <w:lang w:val="en-US" w:eastAsia="en-US"/>
    </w:rPr>
  </w:style>
  <w:style w:type="character" w:customStyle="1" w:styleId="DHHSbodyChar">
    <w:name w:val="DHHS body Char"/>
    <w:link w:val="DHHSbody"/>
    <w:rsid w:val="00B55B56"/>
    <w:rPr>
      <w:rFonts w:ascii="Arial" w:eastAsia="Times" w:hAnsi="Arial"/>
      <w:lang w:eastAsia="en-US"/>
    </w:rPr>
  </w:style>
  <w:style w:type="paragraph" w:customStyle="1" w:styleId="Bodycopy">
    <w:name w:val="*Bodycopy"/>
    <w:basedOn w:val="Normal"/>
    <w:uiPriority w:val="99"/>
    <w:rsid w:val="00FF6471"/>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FF6471"/>
    <w:pPr>
      <w:tabs>
        <w:tab w:val="left" w:pos="460"/>
      </w:tabs>
      <w:ind w:left="454"/>
    </w:pPr>
  </w:style>
  <w:style w:type="character" w:customStyle="1" w:styleId="BodycopyMedium">
    <w:name w:val="Bodycopy Medium"/>
    <w:uiPriority w:val="99"/>
    <w:rsid w:val="00FF6471"/>
  </w:style>
  <w:style w:type="paragraph" w:customStyle="1" w:styleId="BOLdBC">
    <w:name w:val="BOLd BC"/>
    <w:basedOn w:val="Normal"/>
    <w:uiPriority w:val="99"/>
    <w:rsid w:val="00FF6471"/>
    <w:pPr>
      <w:tabs>
        <w:tab w:val="right" w:leader="dot" w:pos="9570"/>
      </w:tabs>
      <w:suppressAutoHyphens/>
      <w:spacing w:before="120" w:after="60"/>
    </w:pPr>
    <w:rPr>
      <w:rFonts w:ascii="Arial" w:eastAsia="MS Mincho" w:hAnsi="Arial" w:cs="Frutiger-Roman"/>
      <w:b/>
      <w:lang w:val="en-GB"/>
    </w:rPr>
  </w:style>
  <w:style w:type="paragraph" w:customStyle="1" w:styleId="NoParagraphStyle">
    <w:name w:val="[No Paragraph Style]"/>
    <w:uiPriority w:val="99"/>
    <w:rsid w:val="00FF6471"/>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FF6471"/>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FF6471"/>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FF6471"/>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FF6471"/>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FF6471"/>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FF6471"/>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FF6471"/>
    <w:pPr>
      <w:tabs>
        <w:tab w:val="left" w:pos="500"/>
      </w:tabs>
      <w:ind w:left="340" w:hanging="340"/>
    </w:pPr>
  </w:style>
  <w:style w:type="paragraph" w:customStyle="1" w:styleId="subheader3">
    <w:name w:val="subheader 3"/>
    <w:basedOn w:val="Bodycopy"/>
    <w:uiPriority w:val="99"/>
    <w:rsid w:val="00FF6471"/>
    <w:pPr>
      <w:spacing w:after="57"/>
    </w:pPr>
    <w:rPr>
      <w:rFonts w:ascii="HelveticaNeueLTStd-Md" w:hAnsi="HelveticaNeueLTStd-Md" w:cs="HelveticaNeueLTStd-Md"/>
    </w:rPr>
  </w:style>
  <w:style w:type="paragraph" w:customStyle="1" w:styleId="tabletitles">
    <w:name w:val="table titles"/>
    <w:basedOn w:val="Bodycopy"/>
    <w:uiPriority w:val="99"/>
    <w:rsid w:val="00FF6471"/>
    <w:rPr>
      <w:rFonts w:ascii="HelveticaNeueLTStd-Md" w:hAnsi="HelveticaNeueLTStd-Md" w:cs="HelveticaNeueLTStd-Md"/>
      <w:color w:val="FFFFFF"/>
    </w:rPr>
  </w:style>
  <w:style w:type="character" w:customStyle="1" w:styleId="meditalic">
    <w:name w:val="med italic"/>
    <w:uiPriority w:val="99"/>
    <w:rsid w:val="00FF6471"/>
    <w:rPr>
      <w:i/>
    </w:rPr>
  </w:style>
  <w:style w:type="character" w:customStyle="1" w:styleId="URLstyle">
    <w:name w:val="URL style"/>
    <w:uiPriority w:val="99"/>
    <w:rsid w:val="00FF6471"/>
    <w:rPr>
      <w:rFonts w:ascii="HelveticaNeueLTStd-Md" w:hAnsi="HelveticaNeueLTStd-Md"/>
      <w:color w:val="001D77"/>
      <w:u w:val="none"/>
    </w:rPr>
  </w:style>
  <w:style w:type="paragraph" w:customStyle="1" w:styleId="BasicParagraph">
    <w:name w:val="[Basic Paragraph]"/>
    <w:basedOn w:val="NoParagraphStyle"/>
    <w:uiPriority w:val="99"/>
    <w:rsid w:val="00FF6471"/>
  </w:style>
  <w:style w:type="character" w:styleId="Emphasis">
    <w:name w:val="Emphasis"/>
    <w:uiPriority w:val="99"/>
    <w:qFormat/>
    <w:rsid w:val="00FF6471"/>
    <w:rPr>
      <w:rFonts w:cs="Times New Roman"/>
      <w:i/>
    </w:rPr>
  </w:style>
  <w:style w:type="paragraph" w:customStyle="1" w:styleId="ImprintBodycopy">
    <w:name w:val="*Imprint Bodycopy"/>
    <w:basedOn w:val="NoParagraphStyle"/>
    <w:uiPriority w:val="99"/>
    <w:rsid w:val="00FF6471"/>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FF6471"/>
    <w:pPr>
      <w:suppressAutoHyphens/>
      <w:spacing w:after="170"/>
    </w:pPr>
    <w:rPr>
      <w:rFonts w:ascii="HelveticaNeueLTStd-Lt" w:hAnsi="HelveticaNeueLTStd-Lt" w:cs="HelveticaNeueLTStd-Lt"/>
      <w:sz w:val="28"/>
      <w:szCs w:val="28"/>
    </w:rPr>
  </w:style>
  <w:style w:type="paragraph" w:styleId="CommentSubject">
    <w:name w:val="annotation subject"/>
    <w:basedOn w:val="CommentText"/>
    <w:next w:val="CommentText"/>
    <w:link w:val="CommentSubjectChar"/>
    <w:semiHidden/>
    <w:rsid w:val="00FF6471"/>
    <w:rPr>
      <w:b/>
      <w:bCs/>
    </w:rPr>
  </w:style>
  <w:style w:type="character" w:customStyle="1" w:styleId="CommentSubjectChar">
    <w:name w:val="Comment Subject Char"/>
    <w:link w:val="CommentSubject"/>
    <w:semiHidden/>
    <w:rsid w:val="00FF6471"/>
    <w:rPr>
      <w:rFonts w:ascii="Cambria" w:eastAsia="MS Mincho" w:hAnsi="Cambria"/>
      <w:b/>
      <w:bCs/>
      <w:lang w:val="en-US" w:eastAsia="en-US"/>
    </w:rPr>
  </w:style>
  <w:style w:type="character" w:customStyle="1" w:styleId="HeaderChar">
    <w:name w:val="Header Char"/>
    <w:link w:val="Header"/>
    <w:uiPriority w:val="99"/>
    <w:rsid w:val="00FF6471"/>
    <w:rPr>
      <w:rFonts w:ascii="Arial" w:hAnsi="Arial" w:cs="Arial"/>
      <w:sz w:val="18"/>
      <w:szCs w:val="18"/>
      <w:lang w:eastAsia="en-US"/>
    </w:rPr>
  </w:style>
  <w:style w:type="character" w:customStyle="1" w:styleId="FooterChar">
    <w:name w:val="Footer Char"/>
    <w:link w:val="Footer"/>
    <w:uiPriority w:val="99"/>
    <w:rsid w:val="00FF6471"/>
    <w:rPr>
      <w:rFonts w:ascii="Arial" w:hAnsi="Arial" w:cs="Arial"/>
      <w:sz w:val="18"/>
      <w:szCs w:val="18"/>
      <w:lang w:eastAsia="en-US"/>
    </w:rPr>
  </w:style>
  <w:style w:type="paragraph" w:styleId="BodyText">
    <w:name w:val="Body Text"/>
    <w:basedOn w:val="Normal"/>
    <w:link w:val="BodyTextChar"/>
    <w:rsid w:val="00FF6471"/>
    <w:pPr>
      <w:overflowPunct w:val="0"/>
      <w:autoSpaceDE w:val="0"/>
      <w:autoSpaceDN w:val="0"/>
      <w:adjustRightInd w:val="0"/>
      <w:spacing w:before="120" w:after="120"/>
      <w:contextualSpacing/>
      <w:textAlignment w:val="baseline"/>
    </w:pPr>
    <w:rPr>
      <w:rFonts w:ascii="Arial" w:hAnsi="Arial"/>
      <w:sz w:val="22"/>
      <w:lang w:eastAsia="en-AU"/>
    </w:rPr>
  </w:style>
  <w:style w:type="character" w:customStyle="1" w:styleId="BodyTextChar">
    <w:name w:val="Body Text Char"/>
    <w:link w:val="BodyText"/>
    <w:rsid w:val="00FF6471"/>
    <w:rPr>
      <w:rFonts w:ascii="Arial" w:hAnsi="Arial"/>
      <w:sz w:val="22"/>
    </w:rPr>
  </w:style>
  <w:style w:type="paragraph" w:customStyle="1" w:styleId="Ttitle">
    <w:name w:val="Ttitle"/>
    <w:basedOn w:val="Normal"/>
    <w:autoRedefine/>
    <w:rsid w:val="00FF6471"/>
    <w:pPr>
      <w:widowControl w:val="0"/>
      <w:tabs>
        <w:tab w:val="left" w:pos="5940"/>
      </w:tabs>
      <w:suppressAutoHyphens/>
      <w:autoSpaceDE w:val="0"/>
      <w:autoSpaceDN w:val="0"/>
      <w:adjustRightInd w:val="0"/>
      <w:spacing w:after="160"/>
      <w:textAlignment w:val="center"/>
    </w:pPr>
    <w:rPr>
      <w:rFonts w:ascii="Arial" w:eastAsia="Cambria" w:hAnsi="Arial" w:cs="Times-Roman"/>
      <w:sz w:val="24"/>
      <w:szCs w:val="24"/>
      <w:lang w:val="en-US"/>
    </w:rPr>
  </w:style>
  <w:style w:type="paragraph" w:customStyle="1" w:styleId="Sub-title">
    <w:name w:val="Sub-title"/>
    <w:basedOn w:val="Ttitle"/>
    <w:autoRedefine/>
    <w:rsid w:val="00FF6471"/>
    <w:rPr>
      <w:sz w:val="44"/>
      <w:szCs w:val="44"/>
      <w:lang w:val="en-AU"/>
    </w:rPr>
  </w:style>
  <w:style w:type="paragraph" w:styleId="Revision">
    <w:name w:val="Revision"/>
    <w:hidden/>
    <w:uiPriority w:val="99"/>
    <w:rsid w:val="00FF6471"/>
    <w:rPr>
      <w:rFonts w:ascii="Cambria" w:eastAsia="MS Mincho" w:hAnsi="Cambria"/>
      <w:sz w:val="24"/>
      <w:szCs w:val="24"/>
      <w:lang w:val="en-US" w:eastAsia="en-US"/>
    </w:rPr>
  </w:style>
  <w:style w:type="paragraph" w:styleId="TOCHeading">
    <w:name w:val="TOC Heading"/>
    <w:basedOn w:val="Heading1"/>
    <w:next w:val="Normal"/>
    <w:uiPriority w:val="39"/>
    <w:unhideWhenUsed/>
    <w:qFormat/>
    <w:rsid w:val="00A06075"/>
    <w:pPr>
      <w:spacing w:before="480" w:after="0" w:line="276" w:lineRule="auto"/>
      <w:outlineLvl w:val="9"/>
    </w:pPr>
    <w:rPr>
      <w:rFonts w:ascii="Cambria" w:eastAsia="MS Gothic" w:hAnsi="Cambria"/>
      <w:b/>
      <w:color w:val="365F91"/>
      <w:sz w:val="28"/>
      <w:szCs w:val="28"/>
      <w:lang w:val="en-US" w:eastAsia="ja-JP"/>
    </w:rPr>
  </w:style>
  <w:style w:type="paragraph" w:customStyle="1" w:styleId="Default">
    <w:name w:val="Default"/>
    <w:rsid w:val="003C4C5F"/>
    <w:pPr>
      <w:autoSpaceDE w:val="0"/>
      <w:autoSpaceDN w:val="0"/>
      <w:adjustRightInd w:val="0"/>
    </w:pPr>
    <w:rPr>
      <w:rFonts w:ascii="Symbol" w:hAnsi="Symbol" w:cs="Symbol"/>
      <w:color w:val="000000"/>
      <w:sz w:val="24"/>
      <w:szCs w:val="24"/>
    </w:rPr>
  </w:style>
  <w:style w:type="paragraph" w:customStyle="1" w:styleId="Bullet1">
    <w:name w:val="Bullet 1"/>
    <w:uiPriority w:val="11"/>
    <w:qFormat/>
    <w:rsid w:val="00C02D7E"/>
    <w:pPr>
      <w:numPr>
        <w:numId w:val="42"/>
      </w:numPr>
      <w:spacing w:before="100" w:after="100"/>
      <w:contextualSpacing/>
    </w:pPr>
    <w:rPr>
      <w:rFonts w:asciiTheme="minorHAnsi" w:hAnsiTheme="minorHAnsi" w:cs="Calibri"/>
      <w:spacing w:val="2"/>
    </w:rPr>
  </w:style>
  <w:style w:type="paragraph" w:customStyle="1" w:styleId="Bullet2">
    <w:name w:val="Bullet 2"/>
    <w:basedOn w:val="Bullet1"/>
    <w:uiPriority w:val="11"/>
    <w:qFormat/>
    <w:rsid w:val="00C02D7E"/>
    <w:pPr>
      <w:numPr>
        <w:ilvl w:val="1"/>
      </w:numPr>
    </w:pPr>
  </w:style>
  <w:style w:type="paragraph" w:customStyle="1" w:styleId="Bulletindent">
    <w:name w:val="Bullet indent"/>
    <w:basedOn w:val="Bullet2"/>
    <w:uiPriority w:val="9"/>
    <w:qFormat/>
    <w:rsid w:val="00C02D7E"/>
    <w:pPr>
      <w:numPr>
        <w:ilvl w:val="2"/>
      </w:numPr>
    </w:pPr>
  </w:style>
  <w:style w:type="paragraph" w:customStyle="1" w:styleId="Bulletindent2">
    <w:name w:val="Bullet indent 2"/>
    <w:basedOn w:val="Normal"/>
    <w:uiPriority w:val="9"/>
    <w:qFormat/>
    <w:rsid w:val="00C02D7E"/>
    <w:pPr>
      <w:numPr>
        <w:ilvl w:val="3"/>
        <w:numId w:val="42"/>
      </w:numPr>
      <w:spacing w:before="100" w:after="100" w:line="276" w:lineRule="auto"/>
      <w:contextualSpacing/>
    </w:pPr>
    <w:rPr>
      <w:rFonts w:asciiTheme="minorHAnsi" w:eastAsiaTheme="minorEastAsia" w:hAnsiTheme="minorHAnsi" w:cstheme="minorBidi"/>
      <w:spacing w:val="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8"/>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9"/>
    <w:qFormat/>
    <w:rsid w:val="005F1315"/>
    <w:pPr>
      <w:keepNext/>
      <w:keepLines/>
      <w:spacing w:before="360" w:after="36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99"/>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F1315"/>
    <w:rPr>
      <w:rFonts w:ascii="Arial" w:hAnsi="Arial"/>
      <w:bCs/>
      <w:color w:val="AF272F"/>
      <w:sz w:val="44"/>
      <w:szCs w:val="44"/>
      <w:lang w:eastAsia="en-US"/>
    </w:rPr>
  </w:style>
  <w:style w:type="character" w:customStyle="1" w:styleId="Heading2Char">
    <w:name w:val="Heading 2 Char"/>
    <w:link w:val="Heading2"/>
    <w:uiPriority w:val="99"/>
    <w:rsid w:val="0098524F"/>
    <w:rPr>
      <w:rFonts w:ascii="Arial" w:hAnsi="Arial"/>
      <w:b/>
      <w:color w:val="AF272F"/>
      <w:sz w:val="28"/>
      <w:szCs w:val="28"/>
      <w:lang w:eastAsia="en-US"/>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B55B56"/>
    <w:pPr>
      <w:spacing w:before="120" w:after="120" w:line="270" w:lineRule="atLeast"/>
    </w:pPr>
    <w:rPr>
      <w:rFonts w:ascii="Arial" w:eastAsia="Times" w:hAnsi="Arial"/>
      <w:lang w:eastAsia="en-US"/>
    </w:rPr>
  </w:style>
  <w:style w:type="paragraph" w:customStyle="1" w:styleId="DHHSbullet1">
    <w:name w:val="DHHS bullet 1"/>
    <w:basedOn w:val="DHHSbody"/>
    <w:qFormat/>
    <w:rsid w:val="00B55B5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A3511C"/>
    <w:pPr>
      <w:spacing w:before="80" w:after="60"/>
    </w:pPr>
    <w:rPr>
      <w:rFonts w:ascii="Arial" w:hAnsi="Arial"/>
      <w:color w:val="AF272F"/>
      <w:sz w:val="24"/>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BodycopyItalic">
    <w:name w:val="Bodycopy Italic"/>
    <w:uiPriority w:val="99"/>
    <w:rsid w:val="00613878"/>
    <w:rPr>
      <w:i/>
    </w:rPr>
  </w:style>
  <w:style w:type="paragraph" w:customStyle="1" w:styleId="ColorfulList-Accent11">
    <w:name w:val="Colorful List - Accent 11"/>
    <w:basedOn w:val="Normal"/>
    <w:uiPriority w:val="99"/>
    <w:rsid w:val="00613878"/>
    <w:pPr>
      <w:ind w:left="720"/>
      <w:contextualSpacing/>
    </w:pPr>
    <w:rPr>
      <w:rFonts w:eastAsia="MS Mincho"/>
      <w:sz w:val="24"/>
      <w:szCs w:val="24"/>
      <w:lang w:val="en-US"/>
    </w:rPr>
  </w:style>
  <w:style w:type="paragraph" w:styleId="ListParagraph">
    <w:name w:val="List Paragraph"/>
    <w:basedOn w:val="Normal"/>
    <w:uiPriority w:val="34"/>
    <w:qFormat/>
    <w:rsid w:val="00613878"/>
    <w:pPr>
      <w:ind w:left="720"/>
      <w:contextualSpacing/>
    </w:pPr>
    <w:rPr>
      <w:rFonts w:eastAsia="MS Mincho"/>
      <w:sz w:val="24"/>
      <w:szCs w:val="24"/>
      <w:lang w:val="en-US"/>
    </w:rPr>
  </w:style>
  <w:style w:type="character" w:customStyle="1" w:styleId="CharChar6">
    <w:name w:val="Char Char6"/>
    <w:rsid w:val="00FF6471"/>
    <w:rPr>
      <w:rFonts w:ascii="Arial" w:eastAsia="Times New Roman" w:hAnsi="Arial" w:cs="Arial"/>
      <w:b/>
      <w:bCs/>
      <w:sz w:val="32"/>
      <w:szCs w:val="32"/>
      <w:lang w:eastAsia="en-AU"/>
    </w:rPr>
  </w:style>
  <w:style w:type="paragraph" w:customStyle="1" w:styleId="Body">
    <w:name w:val="Body"/>
    <w:basedOn w:val="Normal"/>
    <w:link w:val="BodyChar"/>
    <w:rsid w:val="00FF6471"/>
    <w:pPr>
      <w:suppressAutoHyphens/>
      <w:spacing w:after="160" w:line="260" w:lineRule="atLeast"/>
      <w:ind w:left="720"/>
    </w:pPr>
    <w:rPr>
      <w:rFonts w:ascii="Arial" w:hAnsi="Arial"/>
      <w:szCs w:val="24"/>
      <w:lang w:eastAsia="en-AU"/>
    </w:rPr>
  </w:style>
  <w:style w:type="paragraph" w:customStyle="1" w:styleId="DHHSfootnote">
    <w:name w:val="DHHS footnote"/>
    <w:link w:val="DHHSfootnoteChar"/>
    <w:uiPriority w:val="4"/>
    <w:rsid w:val="00FF6471"/>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FF6471"/>
    <w:rPr>
      <w:rFonts w:ascii="Arial" w:hAnsi="Arial"/>
      <w:sz w:val="16"/>
      <w:szCs w:val="16"/>
      <w:lang w:eastAsia="en-US"/>
    </w:rPr>
  </w:style>
  <w:style w:type="character" w:customStyle="1" w:styleId="DHHSfigurecaptionChar">
    <w:name w:val="DHHS figure caption Char"/>
    <w:link w:val="DHHSfigurecaption"/>
    <w:uiPriority w:val="4"/>
    <w:rsid w:val="00FF6471"/>
    <w:rPr>
      <w:rFonts w:ascii="Arial" w:hAnsi="Arial"/>
      <w:b/>
      <w:lang w:eastAsia="en-US"/>
    </w:rPr>
  </w:style>
  <w:style w:type="numbering" w:customStyle="1" w:styleId="Bullets">
    <w:name w:val="Bullets"/>
    <w:rsid w:val="00FF6471"/>
    <w:pPr>
      <w:numPr>
        <w:numId w:val="3"/>
      </w:numPr>
    </w:pPr>
  </w:style>
  <w:style w:type="numbering" w:customStyle="1" w:styleId="Numbers">
    <w:name w:val="Numbers"/>
    <w:rsid w:val="00FF6471"/>
    <w:pPr>
      <w:numPr>
        <w:numId w:val="4"/>
      </w:numPr>
    </w:pPr>
  </w:style>
  <w:style w:type="character" w:customStyle="1" w:styleId="BodyChar">
    <w:name w:val="Body Char"/>
    <w:link w:val="Body"/>
    <w:rsid w:val="00FF6471"/>
    <w:rPr>
      <w:rFonts w:ascii="Arial" w:hAnsi="Arial"/>
      <w:szCs w:val="24"/>
    </w:rPr>
  </w:style>
  <w:style w:type="paragraph" w:styleId="BalloonText">
    <w:name w:val="Balloon Text"/>
    <w:basedOn w:val="Normal"/>
    <w:link w:val="BalloonTextChar"/>
    <w:uiPriority w:val="99"/>
    <w:semiHidden/>
    <w:rsid w:val="00FF6471"/>
    <w:rPr>
      <w:rFonts w:ascii="Tahoma" w:hAnsi="Tahoma" w:cs="Tahoma"/>
      <w:sz w:val="16"/>
      <w:szCs w:val="16"/>
    </w:rPr>
  </w:style>
  <w:style w:type="character" w:customStyle="1" w:styleId="BalloonTextChar">
    <w:name w:val="Balloon Text Char"/>
    <w:link w:val="BalloonText"/>
    <w:uiPriority w:val="99"/>
    <w:semiHidden/>
    <w:rsid w:val="00FF6471"/>
    <w:rPr>
      <w:rFonts w:ascii="Tahoma" w:hAnsi="Tahoma" w:cs="Tahoma"/>
      <w:sz w:val="16"/>
      <w:szCs w:val="16"/>
      <w:lang w:eastAsia="en-US"/>
    </w:rPr>
  </w:style>
  <w:style w:type="character" w:styleId="CommentReference">
    <w:name w:val="annotation reference"/>
    <w:uiPriority w:val="99"/>
    <w:semiHidden/>
    <w:rsid w:val="00FF6471"/>
    <w:rPr>
      <w:rFonts w:cs="Times New Roman"/>
      <w:sz w:val="16"/>
      <w:szCs w:val="16"/>
    </w:rPr>
  </w:style>
  <w:style w:type="paragraph" w:styleId="CommentText">
    <w:name w:val="annotation text"/>
    <w:basedOn w:val="Normal"/>
    <w:link w:val="CommentTextChar"/>
    <w:uiPriority w:val="99"/>
    <w:rsid w:val="00FF6471"/>
    <w:rPr>
      <w:rFonts w:eastAsia="MS Mincho"/>
      <w:lang w:val="en-US"/>
    </w:rPr>
  </w:style>
  <w:style w:type="character" w:customStyle="1" w:styleId="CommentTextChar">
    <w:name w:val="Comment Text Char"/>
    <w:link w:val="CommentText"/>
    <w:uiPriority w:val="99"/>
    <w:rsid w:val="00FF6471"/>
    <w:rPr>
      <w:rFonts w:ascii="Cambria" w:eastAsia="MS Mincho" w:hAnsi="Cambria"/>
      <w:lang w:val="en-US" w:eastAsia="en-US"/>
    </w:rPr>
  </w:style>
  <w:style w:type="character" w:customStyle="1" w:styleId="DHHSbodyChar">
    <w:name w:val="DHHS body Char"/>
    <w:link w:val="DHHSbody"/>
    <w:rsid w:val="00B55B56"/>
    <w:rPr>
      <w:rFonts w:ascii="Arial" w:eastAsia="Times" w:hAnsi="Arial"/>
      <w:lang w:eastAsia="en-US"/>
    </w:rPr>
  </w:style>
  <w:style w:type="paragraph" w:customStyle="1" w:styleId="Bodycopy">
    <w:name w:val="*Bodycopy"/>
    <w:basedOn w:val="Normal"/>
    <w:uiPriority w:val="99"/>
    <w:rsid w:val="00FF6471"/>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FF6471"/>
    <w:pPr>
      <w:tabs>
        <w:tab w:val="left" w:pos="460"/>
      </w:tabs>
      <w:ind w:left="454"/>
    </w:pPr>
  </w:style>
  <w:style w:type="character" w:customStyle="1" w:styleId="BodycopyMedium">
    <w:name w:val="Bodycopy Medium"/>
    <w:uiPriority w:val="99"/>
    <w:rsid w:val="00FF6471"/>
  </w:style>
  <w:style w:type="paragraph" w:customStyle="1" w:styleId="BOLdBC">
    <w:name w:val="BOLd BC"/>
    <w:basedOn w:val="Normal"/>
    <w:uiPriority w:val="99"/>
    <w:rsid w:val="00FF6471"/>
    <w:pPr>
      <w:tabs>
        <w:tab w:val="right" w:leader="dot" w:pos="9570"/>
      </w:tabs>
      <w:suppressAutoHyphens/>
      <w:spacing w:before="120" w:after="60"/>
    </w:pPr>
    <w:rPr>
      <w:rFonts w:ascii="Arial" w:eastAsia="MS Mincho" w:hAnsi="Arial" w:cs="Frutiger-Roman"/>
      <w:b/>
      <w:lang w:val="en-GB"/>
    </w:rPr>
  </w:style>
  <w:style w:type="paragraph" w:customStyle="1" w:styleId="NoParagraphStyle">
    <w:name w:val="[No Paragraph Style]"/>
    <w:uiPriority w:val="99"/>
    <w:rsid w:val="00FF6471"/>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FF6471"/>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FF6471"/>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FF6471"/>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FF6471"/>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FF6471"/>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FF6471"/>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FF6471"/>
    <w:pPr>
      <w:tabs>
        <w:tab w:val="left" w:pos="500"/>
      </w:tabs>
      <w:ind w:left="340" w:hanging="340"/>
    </w:pPr>
  </w:style>
  <w:style w:type="paragraph" w:customStyle="1" w:styleId="subheader3">
    <w:name w:val="subheader 3"/>
    <w:basedOn w:val="Bodycopy"/>
    <w:uiPriority w:val="99"/>
    <w:rsid w:val="00FF6471"/>
    <w:pPr>
      <w:spacing w:after="57"/>
    </w:pPr>
    <w:rPr>
      <w:rFonts w:ascii="HelveticaNeueLTStd-Md" w:hAnsi="HelveticaNeueLTStd-Md" w:cs="HelveticaNeueLTStd-Md"/>
    </w:rPr>
  </w:style>
  <w:style w:type="paragraph" w:customStyle="1" w:styleId="tabletitles">
    <w:name w:val="table titles"/>
    <w:basedOn w:val="Bodycopy"/>
    <w:uiPriority w:val="99"/>
    <w:rsid w:val="00FF6471"/>
    <w:rPr>
      <w:rFonts w:ascii="HelveticaNeueLTStd-Md" w:hAnsi="HelveticaNeueLTStd-Md" w:cs="HelveticaNeueLTStd-Md"/>
      <w:color w:val="FFFFFF"/>
    </w:rPr>
  </w:style>
  <w:style w:type="character" w:customStyle="1" w:styleId="meditalic">
    <w:name w:val="med italic"/>
    <w:uiPriority w:val="99"/>
    <w:rsid w:val="00FF6471"/>
    <w:rPr>
      <w:i/>
    </w:rPr>
  </w:style>
  <w:style w:type="character" w:customStyle="1" w:styleId="URLstyle">
    <w:name w:val="URL style"/>
    <w:uiPriority w:val="99"/>
    <w:rsid w:val="00FF6471"/>
    <w:rPr>
      <w:rFonts w:ascii="HelveticaNeueLTStd-Md" w:hAnsi="HelveticaNeueLTStd-Md"/>
      <w:color w:val="001D77"/>
      <w:u w:val="none"/>
    </w:rPr>
  </w:style>
  <w:style w:type="paragraph" w:customStyle="1" w:styleId="BasicParagraph">
    <w:name w:val="[Basic Paragraph]"/>
    <w:basedOn w:val="NoParagraphStyle"/>
    <w:uiPriority w:val="99"/>
    <w:rsid w:val="00FF6471"/>
  </w:style>
  <w:style w:type="character" w:styleId="Emphasis">
    <w:name w:val="Emphasis"/>
    <w:uiPriority w:val="99"/>
    <w:qFormat/>
    <w:rsid w:val="00FF6471"/>
    <w:rPr>
      <w:rFonts w:cs="Times New Roman"/>
      <w:i/>
    </w:rPr>
  </w:style>
  <w:style w:type="paragraph" w:customStyle="1" w:styleId="ImprintBodycopy">
    <w:name w:val="*Imprint Bodycopy"/>
    <w:basedOn w:val="NoParagraphStyle"/>
    <w:uiPriority w:val="99"/>
    <w:rsid w:val="00FF6471"/>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FF6471"/>
    <w:pPr>
      <w:suppressAutoHyphens/>
      <w:spacing w:after="170"/>
    </w:pPr>
    <w:rPr>
      <w:rFonts w:ascii="HelveticaNeueLTStd-Lt" w:hAnsi="HelveticaNeueLTStd-Lt" w:cs="HelveticaNeueLTStd-Lt"/>
      <w:sz w:val="28"/>
      <w:szCs w:val="28"/>
    </w:rPr>
  </w:style>
  <w:style w:type="paragraph" w:styleId="CommentSubject">
    <w:name w:val="annotation subject"/>
    <w:basedOn w:val="CommentText"/>
    <w:next w:val="CommentText"/>
    <w:link w:val="CommentSubjectChar"/>
    <w:semiHidden/>
    <w:rsid w:val="00FF6471"/>
    <w:rPr>
      <w:b/>
      <w:bCs/>
    </w:rPr>
  </w:style>
  <w:style w:type="character" w:customStyle="1" w:styleId="CommentSubjectChar">
    <w:name w:val="Comment Subject Char"/>
    <w:link w:val="CommentSubject"/>
    <w:semiHidden/>
    <w:rsid w:val="00FF6471"/>
    <w:rPr>
      <w:rFonts w:ascii="Cambria" w:eastAsia="MS Mincho" w:hAnsi="Cambria"/>
      <w:b/>
      <w:bCs/>
      <w:lang w:val="en-US" w:eastAsia="en-US"/>
    </w:rPr>
  </w:style>
  <w:style w:type="character" w:customStyle="1" w:styleId="HeaderChar">
    <w:name w:val="Header Char"/>
    <w:link w:val="Header"/>
    <w:uiPriority w:val="99"/>
    <w:rsid w:val="00FF6471"/>
    <w:rPr>
      <w:rFonts w:ascii="Arial" w:hAnsi="Arial" w:cs="Arial"/>
      <w:sz w:val="18"/>
      <w:szCs w:val="18"/>
      <w:lang w:eastAsia="en-US"/>
    </w:rPr>
  </w:style>
  <w:style w:type="character" w:customStyle="1" w:styleId="FooterChar">
    <w:name w:val="Footer Char"/>
    <w:link w:val="Footer"/>
    <w:uiPriority w:val="99"/>
    <w:rsid w:val="00FF6471"/>
    <w:rPr>
      <w:rFonts w:ascii="Arial" w:hAnsi="Arial" w:cs="Arial"/>
      <w:sz w:val="18"/>
      <w:szCs w:val="18"/>
      <w:lang w:eastAsia="en-US"/>
    </w:rPr>
  </w:style>
  <w:style w:type="paragraph" w:styleId="BodyText">
    <w:name w:val="Body Text"/>
    <w:basedOn w:val="Normal"/>
    <w:link w:val="BodyTextChar"/>
    <w:rsid w:val="00FF6471"/>
    <w:pPr>
      <w:overflowPunct w:val="0"/>
      <w:autoSpaceDE w:val="0"/>
      <w:autoSpaceDN w:val="0"/>
      <w:adjustRightInd w:val="0"/>
      <w:spacing w:before="120" w:after="120"/>
      <w:contextualSpacing/>
      <w:textAlignment w:val="baseline"/>
    </w:pPr>
    <w:rPr>
      <w:rFonts w:ascii="Arial" w:hAnsi="Arial"/>
      <w:sz w:val="22"/>
      <w:lang w:eastAsia="en-AU"/>
    </w:rPr>
  </w:style>
  <w:style w:type="character" w:customStyle="1" w:styleId="BodyTextChar">
    <w:name w:val="Body Text Char"/>
    <w:link w:val="BodyText"/>
    <w:rsid w:val="00FF6471"/>
    <w:rPr>
      <w:rFonts w:ascii="Arial" w:hAnsi="Arial"/>
      <w:sz w:val="22"/>
    </w:rPr>
  </w:style>
  <w:style w:type="paragraph" w:customStyle="1" w:styleId="Ttitle">
    <w:name w:val="Ttitle"/>
    <w:basedOn w:val="Normal"/>
    <w:autoRedefine/>
    <w:rsid w:val="00FF6471"/>
    <w:pPr>
      <w:widowControl w:val="0"/>
      <w:tabs>
        <w:tab w:val="left" w:pos="5940"/>
      </w:tabs>
      <w:suppressAutoHyphens/>
      <w:autoSpaceDE w:val="0"/>
      <w:autoSpaceDN w:val="0"/>
      <w:adjustRightInd w:val="0"/>
      <w:spacing w:after="160"/>
      <w:textAlignment w:val="center"/>
    </w:pPr>
    <w:rPr>
      <w:rFonts w:ascii="Arial" w:eastAsia="Cambria" w:hAnsi="Arial" w:cs="Times-Roman"/>
      <w:sz w:val="24"/>
      <w:szCs w:val="24"/>
      <w:lang w:val="en-US"/>
    </w:rPr>
  </w:style>
  <w:style w:type="paragraph" w:customStyle="1" w:styleId="Sub-title">
    <w:name w:val="Sub-title"/>
    <w:basedOn w:val="Ttitle"/>
    <w:autoRedefine/>
    <w:rsid w:val="00FF6471"/>
    <w:rPr>
      <w:sz w:val="44"/>
      <w:szCs w:val="44"/>
      <w:lang w:val="en-AU"/>
    </w:rPr>
  </w:style>
  <w:style w:type="paragraph" w:styleId="Revision">
    <w:name w:val="Revision"/>
    <w:hidden/>
    <w:uiPriority w:val="99"/>
    <w:rsid w:val="00FF6471"/>
    <w:rPr>
      <w:rFonts w:ascii="Cambria" w:eastAsia="MS Mincho" w:hAnsi="Cambria"/>
      <w:sz w:val="24"/>
      <w:szCs w:val="24"/>
      <w:lang w:val="en-US" w:eastAsia="en-US"/>
    </w:rPr>
  </w:style>
  <w:style w:type="paragraph" w:styleId="TOCHeading">
    <w:name w:val="TOC Heading"/>
    <w:basedOn w:val="Heading1"/>
    <w:next w:val="Normal"/>
    <w:uiPriority w:val="39"/>
    <w:unhideWhenUsed/>
    <w:qFormat/>
    <w:rsid w:val="00A06075"/>
    <w:pPr>
      <w:spacing w:before="480" w:after="0" w:line="276" w:lineRule="auto"/>
      <w:outlineLvl w:val="9"/>
    </w:pPr>
    <w:rPr>
      <w:rFonts w:ascii="Cambria" w:eastAsia="MS Gothic" w:hAnsi="Cambria"/>
      <w:b/>
      <w:color w:val="365F91"/>
      <w:sz w:val="28"/>
      <w:szCs w:val="28"/>
      <w:lang w:val="en-US" w:eastAsia="ja-JP"/>
    </w:rPr>
  </w:style>
  <w:style w:type="paragraph" w:customStyle="1" w:styleId="Default">
    <w:name w:val="Default"/>
    <w:rsid w:val="003C4C5F"/>
    <w:pPr>
      <w:autoSpaceDE w:val="0"/>
      <w:autoSpaceDN w:val="0"/>
      <w:adjustRightInd w:val="0"/>
    </w:pPr>
    <w:rPr>
      <w:rFonts w:ascii="Symbol" w:hAnsi="Symbol" w:cs="Symbol"/>
      <w:color w:val="000000"/>
      <w:sz w:val="24"/>
      <w:szCs w:val="24"/>
    </w:rPr>
  </w:style>
  <w:style w:type="paragraph" w:customStyle="1" w:styleId="Bullet1">
    <w:name w:val="Bullet 1"/>
    <w:uiPriority w:val="11"/>
    <w:qFormat/>
    <w:rsid w:val="00C02D7E"/>
    <w:pPr>
      <w:numPr>
        <w:numId w:val="42"/>
      </w:numPr>
      <w:spacing w:before="100" w:after="100"/>
      <w:contextualSpacing/>
    </w:pPr>
    <w:rPr>
      <w:rFonts w:asciiTheme="minorHAnsi" w:hAnsiTheme="minorHAnsi" w:cs="Calibri"/>
      <w:spacing w:val="2"/>
    </w:rPr>
  </w:style>
  <w:style w:type="paragraph" w:customStyle="1" w:styleId="Bullet2">
    <w:name w:val="Bullet 2"/>
    <w:basedOn w:val="Bullet1"/>
    <w:uiPriority w:val="11"/>
    <w:qFormat/>
    <w:rsid w:val="00C02D7E"/>
    <w:pPr>
      <w:numPr>
        <w:ilvl w:val="1"/>
      </w:numPr>
    </w:pPr>
  </w:style>
  <w:style w:type="paragraph" w:customStyle="1" w:styleId="Bulletindent">
    <w:name w:val="Bullet indent"/>
    <w:basedOn w:val="Bullet2"/>
    <w:uiPriority w:val="9"/>
    <w:qFormat/>
    <w:rsid w:val="00C02D7E"/>
    <w:pPr>
      <w:numPr>
        <w:ilvl w:val="2"/>
      </w:numPr>
    </w:pPr>
  </w:style>
  <w:style w:type="paragraph" w:customStyle="1" w:styleId="Bulletindent2">
    <w:name w:val="Bullet indent 2"/>
    <w:basedOn w:val="Normal"/>
    <w:uiPriority w:val="9"/>
    <w:qFormat/>
    <w:rsid w:val="00C02D7E"/>
    <w:pPr>
      <w:numPr>
        <w:ilvl w:val="3"/>
        <w:numId w:val="42"/>
      </w:numPr>
      <w:spacing w:before="100" w:after="100" w:line="276" w:lineRule="auto"/>
      <w:contextualSpacing/>
    </w:pPr>
    <w:rPr>
      <w:rFonts w:asciiTheme="minorHAnsi" w:eastAsiaTheme="minorEastAsia" w:hAnsiTheme="minorHAnsi" w:cstheme="minorBidi"/>
      <w:spacing w:val="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9781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vic.gov.au/publications-and-resources/strategies/active-victoria-strategic-framework-sport-and-recreation" TargetMode="External"/><Relationship Id="rId18" Type="http://schemas.openxmlformats.org/officeDocument/2006/relationships/hyperlink" Target="http://www.sport.vic.gov.au/sport-and-recreation-victoria-infrastructure-grants-%E2%80%93-acknowledgement-and-publicity-guidelines-wor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port.vic.gov.au/grants" TargetMode="External"/><Relationship Id="rId17" Type="http://schemas.openxmlformats.org/officeDocument/2006/relationships/hyperlink" Target="mailto:loans@sport.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ort.vic.gov.au/loa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info@sport.vic.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ports.vic.gov.au/loans"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port.vic.gov.au/loans"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l0110\AppData\Local\Temp\notes46223E\DHHS%20Repor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F1A2-5911-48A9-958C-9039606A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13 Minister Red 1805.dot</Template>
  <TotalTime>189</TotalTime>
  <Pages>11</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Community Sports Infrastructure Loan Scheme Guidelines</vt:lpstr>
    </vt:vector>
  </TitlesOfParts>
  <Company>Department of Health and Human Services</Company>
  <LinksUpToDate>false</LinksUpToDate>
  <CharactersWithSpaces>20977</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1376309</vt:i4>
      </vt:variant>
      <vt:variant>
        <vt:i4>44</vt:i4>
      </vt:variant>
      <vt:variant>
        <vt:i4>0</vt:i4>
      </vt:variant>
      <vt:variant>
        <vt:i4>5</vt:i4>
      </vt:variant>
      <vt:variant>
        <vt:lpwstr/>
      </vt:variant>
      <vt:variant>
        <vt:lpwstr>_Toc442704357</vt:lpwstr>
      </vt:variant>
      <vt:variant>
        <vt:i4>1376309</vt:i4>
      </vt:variant>
      <vt:variant>
        <vt:i4>38</vt:i4>
      </vt:variant>
      <vt:variant>
        <vt:i4>0</vt:i4>
      </vt:variant>
      <vt:variant>
        <vt:i4>5</vt:i4>
      </vt:variant>
      <vt:variant>
        <vt:lpwstr/>
      </vt:variant>
      <vt:variant>
        <vt:lpwstr>_Toc442704356</vt:lpwstr>
      </vt:variant>
      <vt:variant>
        <vt:i4>1376309</vt:i4>
      </vt:variant>
      <vt:variant>
        <vt:i4>32</vt:i4>
      </vt:variant>
      <vt:variant>
        <vt:i4>0</vt:i4>
      </vt:variant>
      <vt:variant>
        <vt:i4>5</vt:i4>
      </vt:variant>
      <vt:variant>
        <vt:lpwstr/>
      </vt:variant>
      <vt:variant>
        <vt:lpwstr>_Toc442704355</vt:lpwstr>
      </vt:variant>
      <vt:variant>
        <vt:i4>1376309</vt:i4>
      </vt:variant>
      <vt:variant>
        <vt:i4>26</vt:i4>
      </vt:variant>
      <vt:variant>
        <vt:i4>0</vt:i4>
      </vt:variant>
      <vt:variant>
        <vt:i4>5</vt:i4>
      </vt:variant>
      <vt:variant>
        <vt:lpwstr/>
      </vt:variant>
      <vt:variant>
        <vt:lpwstr>_Toc442704354</vt:lpwstr>
      </vt:variant>
      <vt:variant>
        <vt:i4>1376309</vt:i4>
      </vt:variant>
      <vt:variant>
        <vt:i4>20</vt:i4>
      </vt:variant>
      <vt:variant>
        <vt:i4>0</vt:i4>
      </vt:variant>
      <vt:variant>
        <vt:i4>5</vt:i4>
      </vt:variant>
      <vt:variant>
        <vt:lpwstr/>
      </vt:variant>
      <vt:variant>
        <vt:lpwstr>_Toc442704353</vt:lpwstr>
      </vt:variant>
      <vt:variant>
        <vt:i4>1376309</vt:i4>
      </vt:variant>
      <vt:variant>
        <vt:i4>14</vt:i4>
      </vt:variant>
      <vt:variant>
        <vt:i4>0</vt:i4>
      </vt:variant>
      <vt:variant>
        <vt:i4>5</vt:i4>
      </vt:variant>
      <vt:variant>
        <vt:lpwstr/>
      </vt:variant>
      <vt:variant>
        <vt:lpwstr>_Toc442704352</vt:lpwstr>
      </vt:variant>
      <vt:variant>
        <vt:i4>1376309</vt:i4>
      </vt:variant>
      <vt:variant>
        <vt:i4>8</vt:i4>
      </vt:variant>
      <vt:variant>
        <vt:i4>0</vt:i4>
      </vt:variant>
      <vt:variant>
        <vt:i4>5</vt:i4>
      </vt:variant>
      <vt:variant>
        <vt:lpwstr/>
      </vt:variant>
      <vt:variant>
        <vt:lpwstr>_Toc442704351</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Sports Infrastructure Loan Scheme Guidelines</dc:title>
  <dc:creator>ndim1802;Sport and Recreation Victoria</dc:creator>
  <cp:keywords>Community Sports Infrastructure Loans Scheme Guidelines</cp:keywords>
  <dc:description>Community Sports Infrastructure Loan Scheme Guidelines
Community Infrastructure Unit
Guidelines, Sport, Infrastructure, Loans, Loan, Scheme, Funding</dc:description>
  <cp:lastModifiedBy>David Di Guglielmo</cp:lastModifiedBy>
  <cp:revision>11</cp:revision>
  <cp:lastPrinted>2018-07-13T01:13:00Z</cp:lastPrinted>
  <dcterms:created xsi:type="dcterms:W3CDTF">2018-07-11T00:46:00Z</dcterms:created>
  <dcterms:modified xsi:type="dcterms:W3CDTF">2018-07-13T03:14:00Z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