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CC1498" w:rsidRDefault="00036725" w:rsidP="00AD784C">
      <w:pPr>
        <w:pStyle w:val="Spacerparatopoffirstpage"/>
        <w:rPr>
          <w:color w:val="FFFFFF"/>
        </w:rPr>
      </w:pPr>
      <w:r w:rsidRPr="00CC1498">
        <w:rPr>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Decorative" style="position:absolute;margin-left:0;margin-top:0;width:596.1pt;height:91.4pt;z-index:-1;mso-position-horizontal-relative:page;mso-position-vertical-relative:page" o:allowincell="f">
            <v:imagedata r:id="rId7" o:title="Factsheet Banner Portrait 13 Minister Red 1805"/>
            <w10:wrap anchorx="page" anchory="page"/>
            <w10:anchorlock/>
          </v:shape>
        </w:pict>
      </w:r>
    </w:p>
    <w:p w:rsidR="00A62D44" w:rsidRPr="00CC1498" w:rsidRDefault="00A62D44" w:rsidP="004C6EEE">
      <w:pPr>
        <w:pStyle w:val="Sectionbreakfirstpage"/>
        <w:rPr>
          <w:color w:val="FFFFFF"/>
        </w:rPr>
        <w:sectPr w:rsidR="00A62D44" w:rsidRPr="00CC1498" w:rsidSect="00AD784C">
          <w:footerReference w:type="default" r:id="rId8"/>
          <w:pgSz w:w="11906" w:h="16838" w:code="9"/>
          <w:pgMar w:top="567" w:right="851" w:bottom="1418" w:left="851" w:header="510" w:footer="510" w:gutter="0"/>
          <w:cols w:space="708"/>
          <w:docGrid w:linePitch="360"/>
        </w:sectPr>
      </w:pPr>
    </w:p>
    <w:p w:rsidR="00B2752E" w:rsidRPr="00CC1498" w:rsidRDefault="00F802E5" w:rsidP="007678AA">
      <w:pPr>
        <w:pStyle w:val="DHHSTOCheadingfactsheet"/>
        <w:rPr>
          <w:color w:val="FFFFFF"/>
        </w:rPr>
      </w:pPr>
      <w:r w:rsidRPr="00CC1498">
        <w:rPr>
          <w:color w:val="FFFFFF"/>
        </w:rPr>
        <w:lastRenderedPageBreak/>
        <w:t>Facilities</w:t>
      </w:r>
      <w:r w:rsidR="00B44DCF" w:rsidRPr="00CC1498">
        <w:rPr>
          <w:color w:val="FFFFFF"/>
        </w:rPr>
        <w:t xml:space="preserve"> Planning Transcript</w:t>
      </w:r>
    </w:p>
    <w:p w:rsidR="00B44DCF" w:rsidRDefault="00B44DCF" w:rsidP="00B44DCF">
      <w:pPr>
        <w:pStyle w:val="DHHSbody"/>
      </w:pPr>
    </w:p>
    <w:p w:rsidR="00B44DCF" w:rsidRDefault="00B44DCF" w:rsidP="00B44DCF">
      <w:pPr>
        <w:pStyle w:val="DHHSbody"/>
      </w:pPr>
    </w:p>
    <w:p w:rsidR="00B44DCF" w:rsidRDefault="00B44DCF" w:rsidP="00B44DCF">
      <w:pPr>
        <w:pStyle w:val="DHHSbody"/>
      </w:pPr>
    </w:p>
    <w:p w:rsidR="00B44DCF" w:rsidRPr="00B16F25" w:rsidRDefault="00B44DCF" w:rsidP="00B44DCF">
      <w:pPr>
        <w:pStyle w:val="DHHSbody"/>
        <w:rPr>
          <w:sz w:val="24"/>
          <w:szCs w:val="24"/>
        </w:rPr>
      </w:pPr>
      <w:r w:rsidRPr="00B16F25">
        <w:rPr>
          <w:sz w:val="24"/>
          <w:szCs w:val="24"/>
        </w:rPr>
        <w:t>LEGEND:</w:t>
      </w:r>
    </w:p>
    <w:p w:rsidR="00B16F25" w:rsidRDefault="00072B62" w:rsidP="00B44DCF">
      <w:pPr>
        <w:pStyle w:val="DHHSbody"/>
        <w:numPr>
          <w:ilvl w:val="0"/>
          <w:numId w:val="9"/>
        </w:numPr>
        <w:rPr>
          <w:sz w:val="24"/>
          <w:szCs w:val="24"/>
        </w:rPr>
      </w:pPr>
      <w:r>
        <w:rPr>
          <w:sz w:val="24"/>
          <w:szCs w:val="24"/>
        </w:rPr>
        <w:t>Players change rooms with direct access to amenities and to the playing fields. Refer to relevant sporting preferred facilities guidelines for the number and size of required change rooms and amenities. Facilities should be sized to encourage shared use amongst all sporting codes.</w:t>
      </w:r>
    </w:p>
    <w:p w:rsidR="00072B62" w:rsidRDefault="004A5D08" w:rsidP="00B44DCF">
      <w:pPr>
        <w:pStyle w:val="DHHSbody"/>
        <w:numPr>
          <w:ilvl w:val="0"/>
          <w:numId w:val="9"/>
        </w:numPr>
        <w:rPr>
          <w:sz w:val="24"/>
          <w:szCs w:val="24"/>
        </w:rPr>
      </w:pPr>
      <w:r>
        <w:rPr>
          <w:sz w:val="24"/>
          <w:szCs w:val="24"/>
        </w:rPr>
        <w:t>Where sport specific hard courts are included in the precinct/reserve, provide dedicated female change rooms and amenities to promote female participation.</w:t>
      </w:r>
    </w:p>
    <w:p w:rsidR="004A5D08" w:rsidRDefault="004A5D08" w:rsidP="00B44DCF">
      <w:pPr>
        <w:pStyle w:val="DHHSbody"/>
        <w:numPr>
          <w:ilvl w:val="0"/>
          <w:numId w:val="9"/>
        </w:numPr>
        <w:rPr>
          <w:sz w:val="24"/>
          <w:szCs w:val="24"/>
        </w:rPr>
      </w:pPr>
      <w:r>
        <w:rPr>
          <w:sz w:val="24"/>
          <w:szCs w:val="24"/>
        </w:rPr>
        <w:t>Umpire facilities suitable for use by both genders with separate paths of travel.</w:t>
      </w:r>
    </w:p>
    <w:p w:rsidR="004A5D08" w:rsidRDefault="004A5D08" w:rsidP="00B44DCF">
      <w:pPr>
        <w:pStyle w:val="DHHSbody"/>
        <w:numPr>
          <w:ilvl w:val="0"/>
          <w:numId w:val="9"/>
        </w:numPr>
        <w:rPr>
          <w:sz w:val="24"/>
          <w:szCs w:val="24"/>
        </w:rPr>
      </w:pPr>
      <w:r>
        <w:rPr>
          <w:sz w:val="24"/>
          <w:szCs w:val="24"/>
        </w:rPr>
        <w:t>Multi-purpose/social room to have views to the playing fields. Design should encourage flexibility of use by all user groups.</w:t>
      </w:r>
    </w:p>
    <w:p w:rsidR="004A5D08" w:rsidRDefault="004A5D08" w:rsidP="00B44DCF">
      <w:pPr>
        <w:pStyle w:val="DHHSbody"/>
        <w:numPr>
          <w:ilvl w:val="0"/>
          <w:numId w:val="9"/>
        </w:numPr>
        <w:rPr>
          <w:sz w:val="24"/>
          <w:szCs w:val="24"/>
        </w:rPr>
      </w:pPr>
      <w:r>
        <w:rPr>
          <w:sz w:val="24"/>
          <w:szCs w:val="24"/>
        </w:rPr>
        <w:t>Accessible toilets to be centrally located for equitable access by all. All circulation spaces shall be designed to comply with Disability Discrimination Act requirements. Ensure equitable access to undercover areas.</w:t>
      </w:r>
    </w:p>
    <w:p w:rsidR="004A5D08" w:rsidRDefault="004A5D08" w:rsidP="00B44DCF">
      <w:pPr>
        <w:pStyle w:val="DHHSbody"/>
        <w:numPr>
          <w:ilvl w:val="0"/>
          <w:numId w:val="9"/>
        </w:numPr>
        <w:rPr>
          <w:sz w:val="24"/>
          <w:szCs w:val="24"/>
        </w:rPr>
      </w:pPr>
      <w:r>
        <w:rPr>
          <w:sz w:val="24"/>
          <w:szCs w:val="24"/>
        </w:rPr>
        <w:t xml:space="preserve">Ancillary areas may </w:t>
      </w:r>
      <w:bookmarkStart w:id="0" w:name="_GoBack"/>
      <w:bookmarkEnd w:id="0"/>
      <w:r>
        <w:rPr>
          <w:sz w:val="24"/>
          <w:szCs w:val="24"/>
        </w:rPr>
        <w:t>include offices and meeting rooms. The areas shall be designed to encourage community and external use.</w:t>
      </w:r>
    </w:p>
    <w:p w:rsidR="004A5D08" w:rsidRPr="00B16F25" w:rsidRDefault="004A5D08" w:rsidP="00B44DCF">
      <w:pPr>
        <w:pStyle w:val="DHHSbody"/>
        <w:numPr>
          <w:ilvl w:val="0"/>
          <w:numId w:val="9"/>
        </w:numPr>
        <w:rPr>
          <w:sz w:val="24"/>
          <w:szCs w:val="24"/>
        </w:rPr>
      </w:pPr>
      <w:r>
        <w:rPr>
          <w:sz w:val="24"/>
          <w:szCs w:val="24"/>
        </w:rPr>
        <w:t>Public toilets should connect to any family social recreation areas or play spaces as well as the main building.</w:t>
      </w:r>
    </w:p>
    <w:sectPr w:rsidR="004A5D08" w:rsidRPr="00B16F25"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98" w:rsidRDefault="00CC1498">
      <w:r>
        <w:separator/>
      </w:r>
    </w:p>
  </w:endnote>
  <w:endnote w:type="continuationSeparator" w:id="0">
    <w:p w:rsidR="00CC1498" w:rsidRDefault="00CC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8A5B32" w:rsidP="0051568D">
    <w:pPr>
      <w:pStyle w:val="DHHS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Victoria State Government Department of Health and Human Services" style="position:absolute;margin-left:0;margin-top:779.65pt;width:595.4pt;height:62.3pt;z-index:1;mso-position-horizontal-relative:page;mso-position-vertical-relative:page" o:allowincell="f">
          <v:imagedata r:id="rId1" o:title="Factsheet Footer Portrait All"/>
          <w10:wrap anchorx="page" anchory="pag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7678AA">
      <w:rPr>
        <w:noProof/>
      </w:rPr>
      <w:t>4</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98" w:rsidRDefault="00CC1498" w:rsidP="002862F1">
      <w:pPr>
        <w:spacing w:before="120"/>
      </w:pPr>
      <w:r>
        <w:separator/>
      </w:r>
    </w:p>
  </w:footnote>
  <w:footnote w:type="continuationSeparator" w:id="0">
    <w:p w:rsidR="00CC1498" w:rsidRDefault="00CC1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F6869F6"/>
    <w:multiLevelType w:val="hybridMultilevel"/>
    <w:tmpl w:val="B05C4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efaultTabStop w:val="720"/>
  <w:drawingGridHorizontalSpacing w:val="181"/>
  <w:drawingGridVerticalSpacing w:val="181"/>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suppressSpBfAfterPgBrk/>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CF"/>
    <w:rsid w:val="000072B6"/>
    <w:rsid w:val="0001021B"/>
    <w:rsid w:val="00011D89"/>
    <w:rsid w:val="00024D89"/>
    <w:rsid w:val="000250B6"/>
    <w:rsid w:val="00033D81"/>
    <w:rsid w:val="00036725"/>
    <w:rsid w:val="00041BF0"/>
    <w:rsid w:val="0004536B"/>
    <w:rsid w:val="00046B68"/>
    <w:rsid w:val="000527DD"/>
    <w:rsid w:val="000578B2"/>
    <w:rsid w:val="00060959"/>
    <w:rsid w:val="000663CD"/>
    <w:rsid w:val="00072B62"/>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495C"/>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5D08"/>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55B1"/>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678AA"/>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05B"/>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1992"/>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6F25"/>
    <w:rsid w:val="00B22291"/>
    <w:rsid w:val="00B23F9A"/>
    <w:rsid w:val="00B2417B"/>
    <w:rsid w:val="00B24E6F"/>
    <w:rsid w:val="00B26CB5"/>
    <w:rsid w:val="00B2752E"/>
    <w:rsid w:val="00B307CC"/>
    <w:rsid w:val="00B326B7"/>
    <w:rsid w:val="00B431E8"/>
    <w:rsid w:val="00B44DCF"/>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1498"/>
    <w:rsid w:val="00CC2BFD"/>
    <w:rsid w:val="00CD3476"/>
    <w:rsid w:val="00CD64DF"/>
    <w:rsid w:val="00CF2F50"/>
    <w:rsid w:val="00D02919"/>
    <w:rsid w:val="00D04C61"/>
    <w:rsid w:val="00D05B8D"/>
    <w:rsid w:val="00D065A2"/>
    <w:rsid w:val="00D07F00"/>
    <w:rsid w:val="00D122EC"/>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25F3"/>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36FB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02E5"/>
    <w:rsid w:val="00F815B5"/>
    <w:rsid w:val="00F85195"/>
    <w:rsid w:val="00F938BA"/>
    <w:rsid w:val="00FA2C46"/>
    <w:rsid w:val="00FA3525"/>
    <w:rsid w:val="00FB4CDA"/>
    <w:rsid w:val="00FC0F81"/>
    <w:rsid w:val="00FC395C"/>
    <w:rsid w:val="00FD3766"/>
    <w:rsid w:val="00FD47C4"/>
    <w:rsid w:val="00FE2DCF"/>
    <w:rsid w:val="00FF2FCE"/>
    <w:rsid w:val="00FF4F7D"/>
    <w:rsid w:val="00FF4FC9"/>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36725"/>
    <w:pPr>
      <w:keepNext/>
      <w:keepLines/>
      <w:spacing w:before="320" w:after="200" w:line="440" w:lineRule="atLeast"/>
      <w:outlineLvl w:val="0"/>
    </w:pPr>
    <w:rPr>
      <w:rFonts w:ascii="Arial" w:eastAsia="MS Gothic" w:hAnsi="Arial" w:cs="Arial"/>
      <w:bCs/>
      <w:color w:val="AF272F"/>
      <w:kern w:val="32"/>
      <w:sz w:val="36"/>
      <w:szCs w:val="40"/>
      <w:lang w:eastAsia="en-US"/>
    </w:rPr>
  </w:style>
  <w:style w:type="paragraph" w:styleId="Heading2">
    <w:name w:val="heading 2"/>
    <w:next w:val="DHHSbody"/>
    <w:link w:val="Heading2Char"/>
    <w:uiPriority w:val="1"/>
    <w:qFormat/>
    <w:rsid w:val="00036725"/>
    <w:pPr>
      <w:keepNext/>
      <w:keepLines/>
      <w:spacing w:before="240" w:after="90" w:line="320" w:lineRule="atLeast"/>
      <w:outlineLvl w:val="1"/>
    </w:pPr>
    <w:rPr>
      <w:rFonts w:ascii="Arial" w:hAnsi="Arial"/>
      <w:b/>
      <w:color w:val="AF272F"/>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36725"/>
    <w:rPr>
      <w:rFonts w:ascii="Arial" w:eastAsia="MS Gothic" w:hAnsi="Arial" w:cs="Arial"/>
      <w:bCs/>
      <w:color w:val="AF272F"/>
      <w:kern w:val="32"/>
      <w:sz w:val="36"/>
      <w:szCs w:val="40"/>
      <w:lang w:eastAsia="en-US"/>
    </w:rPr>
  </w:style>
  <w:style w:type="character" w:customStyle="1" w:styleId="Heading2Char">
    <w:name w:val="Heading 2 Char"/>
    <w:link w:val="Heading2"/>
    <w:uiPriority w:val="1"/>
    <w:rsid w:val="00036725"/>
    <w:rPr>
      <w:rFonts w:ascii="Arial" w:hAnsi="Arial"/>
      <w:b/>
      <w:color w:val="AF272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36725"/>
    <w:pPr>
      <w:spacing w:before="0" w:after="200"/>
      <w:outlineLvl w:val="9"/>
    </w:pPr>
  </w:style>
  <w:style w:type="character" w:customStyle="1" w:styleId="DHHSTOCheadingfactsheetChar">
    <w:name w:val="DHHS TOC heading fact sheet Char"/>
    <w:link w:val="DHHSTOCheadingfactsheet"/>
    <w:uiPriority w:val="4"/>
    <w:rsid w:val="0003672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36725"/>
    <w:pPr>
      <w:spacing w:before="80" w:after="60"/>
    </w:pPr>
    <w:rPr>
      <w:rFonts w:ascii="Arial" w:hAnsi="Arial"/>
      <w:b/>
      <w:color w:val="AF272F"/>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ya0605\AppData\Local\Temp\notes70BFA2\DHHS%20Factsheet%2013%20Minister%20Red%2018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13 Minister Red 1805</Template>
  <TotalTime>3</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Ryan</dc:creator>
  <cp:lastModifiedBy>Daley Ryan</cp:lastModifiedBy>
  <cp:revision>2</cp:revision>
  <cp:lastPrinted>2015-08-21T04:17:00Z</cp:lastPrinted>
  <dcterms:created xsi:type="dcterms:W3CDTF">2016-08-04T07:07:00Z</dcterms:created>
  <dcterms:modified xsi:type="dcterms:W3CDTF">2016-08-04T07:07:00Z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