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9AB94" w14:textId="77777777" w:rsidR="0074696E" w:rsidRPr="004C6EEE" w:rsidRDefault="0074696E" w:rsidP="00AD784C">
      <w:pPr>
        <w:pStyle w:val="Spacerparatopoffirstpage"/>
      </w:pPr>
    </w:p>
    <w:p w14:paraId="5789AB95" w14:textId="77777777" w:rsidR="00A62D44" w:rsidRPr="004C6EEE" w:rsidRDefault="00A62D44" w:rsidP="004C6EEE">
      <w:pPr>
        <w:pStyle w:val="Sectionbreakfirstpage"/>
        <w:sectPr w:rsidR="00A62D44" w:rsidRPr="004C6EEE" w:rsidSect="002A52F0">
          <w:headerReference w:type="even" r:id="rId10"/>
          <w:headerReference w:type="default" r:id="rId11"/>
          <w:footerReference w:type="even" r:id="rId12"/>
          <w:footerReference w:type="default" r:id="rId13"/>
          <w:headerReference w:type="first" r:id="rId14"/>
          <w:footerReference w:type="first" r:id="rId15"/>
          <w:pgSz w:w="11906" w:h="16838" w:code="9"/>
          <w:pgMar w:top="567" w:right="851" w:bottom="1418" w:left="851" w:header="510" w:footer="289" w:gutter="0"/>
          <w:cols w:space="708"/>
          <w:docGrid w:linePitch="360"/>
        </w:sectPr>
      </w:pPr>
    </w:p>
    <w:tbl>
      <w:tblPr>
        <w:tblW w:w="10456" w:type="dxa"/>
        <w:tblLook w:val="04A0" w:firstRow="1" w:lastRow="0" w:firstColumn="1" w:lastColumn="0" w:noHBand="0" w:noVBand="1"/>
      </w:tblPr>
      <w:tblGrid>
        <w:gridCol w:w="10456"/>
      </w:tblGrid>
      <w:tr w:rsidR="00C124A6" w14:paraId="5789AB98" w14:textId="77777777" w:rsidTr="00540D60">
        <w:trPr>
          <w:trHeight w:val="567"/>
        </w:trPr>
        <w:tc>
          <w:tcPr>
            <w:tcW w:w="10456" w:type="dxa"/>
            <w:shd w:val="clear" w:color="auto" w:fill="auto"/>
            <w:vAlign w:val="bottom"/>
          </w:tcPr>
          <w:p w14:paraId="5789AB96" w14:textId="77777777" w:rsidR="00633189" w:rsidRDefault="00E140F9" w:rsidP="00633189">
            <w:pPr>
              <w:pStyle w:val="DHHSmainheading"/>
            </w:pPr>
            <w:r>
              <w:t xml:space="preserve">Minimum </w:t>
            </w:r>
            <w:r w:rsidR="00633189">
              <w:t xml:space="preserve">safety standards </w:t>
            </w:r>
          </w:p>
          <w:p w14:paraId="5789AB97" w14:textId="77777777" w:rsidR="002E00B6" w:rsidRPr="00C03B9F" w:rsidRDefault="00633189" w:rsidP="00265574">
            <w:pPr>
              <w:pStyle w:val="DHHSmainsubheading"/>
              <w:spacing w:before="40"/>
            </w:pPr>
            <w:r w:rsidRPr="006C0009">
              <w:rPr>
                <w:sz w:val="32"/>
              </w:rPr>
              <w:t>For contests conducted by recognised amateur associations</w:t>
            </w:r>
          </w:p>
        </w:tc>
      </w:tr>
    </w:tbl>
    <w:p w14:paraId="5789AB99" w14:textId="77777777" w:rsidR="00E140F9" w:rsidRPr="00633189" w:rsidRDefault="00E140F9" w:rsidP="00265574">
      <w:pPr>
        <w:pStyle w:val="DHHSmainsubheading"/>
      </w:pPr>
      <w:bookmarkStart w:id="0" w:name="_Toc440566508"/>
      <w:r w:rsidRPr="00633189">
        <w:t>Contestants</w:t>
      </w:r>
    </w:p>
    <w:p w14:paraId="5789AB9A" w14:textId="77777777" w:rsidR="00E140F9" w:rsidRDefault="00E140F9" w:rsidP="00E140F9">
      <w:pPr>
        <w:pStyle w:val="DHHSbody"/>
        <w:spacing w:before="120"/>
      </w:pPr>
      <w:r>
        <w:t>To compete in a contest or exhibition, a contestant must:</w:t>
      </w:r>
    </w:p>
    <w:p w14:paraId="5789AB9B" w14:textId="77777777" w:rsidR="00E140F9" w:rsidRDefault="00E140F9" w:rsidP="00633189">
      <w:pPr>
        <w:pStyle w:val="DHHSnumberloweralpha"/>
      </w:pPr>
      <w:r>
        <w:t>be registered with the recognised amateur association;</w:t>
      </w:r>
    </w:p>
    <w:p w14:paraId="5789AB9C" w14:textId="77777777" w:rsidR="00E140F9" w:rsidRDefault="00E140F9" w:rsidP="00633189">
      <w:pPr>
        <w:pStyle w:val="DHHSnumberloweralpha"/>
      </w:pPr>
      <w:r>
        <w:t>be 10 years of age or older;</w:t>
      </w:r>
    </w:p>
    <w:p w14:paraId="5789AB9D" w14:textId="77777777" w:rsidR="00E140F9" w:rsidRDefault="00E140F9" w:rsidP="00633189">
      <w:pPr>
        <w:pStyle w:val="DHHSnumberloweralpha"/>
      </w:pPr>
      <w:r>
        <w:t>have been found to be fit to compete by a medical practitioner no more than 12 months prior to the date of the contest; and</w:t>
      </w:r>
    </w:p>
    <w:p w14:paraId="5789AB9E" w14:textId="77777777" w:rsidR="00E140F9" w:rsidRDefault="00E140F9" w:rsidP="00633189">
      <w:pPr>
        <w:pStyle w:val="DHHSnumberloweralpha"/>
      </w:pPr>
      <w:r>
        <w:t xml:space="preserve">for contestants 15 years and </w:t>
      </w:r>
      <w:r w:rsidR="00E25164">
        <w:t>older</w:t>
      </w:r>
      <w:r>
        <w:t>, have undergone a blood test no more than twelve months prior to the date of the contest and must not, in the opinion of a medical practitioner, be capable of transmitting any of the following blood borne diseases to any other person:</w:t>
      </w:r>
    </w:p>
    <w:p w14:paraId="5789AB9F" w14:textId="77777777" w:rsidR="00E140F9" w:rsidRDefault="00E140F9" w:rsidP="00633189">
      <w:pPr>
        <w:pStyle w:val="DHHSnumberlowerromanindent"/>
      </w:pPr>
      <w:r>
        <w:t>the HIV virus;</w:t>
      </w:r>
    </w:p>
    <w:p w14:paraId="5789ABA0" w14:textId="77777777" w:rsidR="00E140F9" w:rsidRDefault="00E140F9" w:rsidP="00633189">
      <w:pPr>
        <w:pStyle w:val="DHHSnumberlowerromanindent"/>
      </w:pPr>
      <w:r>
        <w:t>the Hepatitis B virus; and/or</w:t>
      </w:r>
    </w:p>
    <w:p w14:paraId="5789ABA1" w14:textId="77777777" w:rsidR="00E140F9" w:rsidRDefault="00E140F9" w:rsidP="00633189">
      <w:pPr>
        <w:pStyle w:val="DHHSnumberlowerromanindent"/>
      </w:pPr>
      <w:r>
        <w:t>the Hepatitis C virus.</w:t>
      </w:r>
    </w:p>
    <w:p w14:paraId="5789ABA2" w14:textId="77777777" w:rsidR="00E140F9" w:rsidRDefault="00E140F9" w:rsidP="00E140F9">
      <w:pPr>
        <w:pStyle w:val="DHHSbody"/>
        <w:spacing w:before="120"/>
      </w:pPr>
      <w:r>
        <w:t>With the exception of mixed martial arts contests, the following glove sizes are to be worn unles</w:t>
      </w:r>
      <w:r w:rsidR="00633189">
        <w:t>s otherwise agreed by the Board.</w:t>
      </w:r>
    </w:p>
    <w:p w14:paraId="5789ABA3" w14:textId="77777777" w:rsidR="00E140F9" w:rsidRDefault="00E140F9" w:rsidP="00633189">
      <w:pPr>
        <w:pStyle w:val="DHHSbody"/>
      </w:pPr>
      <w:r>
        <w:t>For male contestants 17 years and over:</w:t>
      </w:r>
    </w:p>
    <w:p w14:paraId="5789ABA4" w14:textId="77777777" w:rsidR="00E140F9" w:rsidRDefault="00E140F9" w:rsidP="00633189">
      <w:pPr>
        <w:pStyle w:val="DHHSnumberlowerromanindent"/>
        <w:numPr>
          <w:ilvl w:val="5"/>
          <w:numId w:val="10"/>
        </w:numPr>
      </w:pPr>
      <w:r>
        <w:t xml:space="preserve">no less than ten (10) oz gloves are to be used from the Light Flyweight (49 kg) category to the Light Welterweight (64 kg) category; and </w:t>
      </w:r>
    </w:p>
    <w:p w14:paraId="5789ABA5" w14:textId="77777777" w:rsidR="00E140F9" w:rsidRDefault="00E140F9" w:rsidP="00633189">
      <w:pPr>
        <w:pStyle w:val="DHHSnumberlowerromanindent"/>
      </w:pPr>
      <w:r>
        <w:t xml:space="preserve">no less than twelve (12) oz gloves must be used for the Welterweight (69 kg) category to Super Heavyweight (91+ kg) category. </w:t>
      </w:r>
    </w:p>
    <w:p w14:paraId="5789ABA6" w14:textId="77777777" w:rsidR="00E140F9" w:rsidRDefault="00E140F9" w:rsidP="00633189">
      <w:pPr>
        <w:pStyle w:val="DHHSbody"/>
      </w:pPr>
      <w:r>
        <w:t>For all female contestants and all male contestants 16 years and under, no less than ten (10) oz gloves must be used for all weight classes.</w:t>
      </w:r>
    </w:p>
    <w:p w14:paraId="5789ABA7" w14:textId="77777777" w:rsidR="00E140F9" w:rsidRDefault="00E140F9" w:rsidP="00E140F9">
      <w:pPr>
        <w:pStyle w:val="DHHSbody"/>
        <w:spacing w:before="120"/>
      </w:pPr>
      <w:r>
        <w:t>No less than eight (8) oz grappling gloves to be used for all mixed martial arts contests.</w:t>
      </w:r>
    </w:p>
    <w:p w14:paraId="5789ABA8" w14:textId="77777777" w:rsidR="00E140F9" w:rsidRDefault="00E140F9" w:rsidP="00265574">
      <w:pPr>
        <w:pStyle w:val="DHHSmainsubheading"/>
      </w:pPr>
      <w:r>
        <w:t xml:space="preserve">Medical </w:t>
      </w:r>
      <w:r w:rsidRPr="00265574">
        <w:t>Practitioner</w:t>
      </w:r>
    </w:p>
    <w:p w14:paraId="5789ABA9" w14:textId="77777777" w:rsidR="00E140F9" w:rsidRDefault="00E140F9" w:rsidP="00E140F9">
      <w:pPr>
        <w:pStyle w:val="DHHSbody"/>
        <w:spacing w:before="120"/>
      </w:pPr>
      <w:r>
        <w:t>A medical practitioner must be present at all contests and exhibitions for the duration of the event.  If a medical practitioner is not present at ringside, the contest or exhibition shall not commence.</w:t>
      </w:r>
    </w:p>
    <w:p w14:paraId="5789ABAA" w14:textId="77777777" w:rsidR="00E140F9" w:rsidRDefault="00E140F9" w:rsidP="00E140F9">
      <w:pPr>
        <w:pStyle w:val="DHHSbody"/>
        <w:spacing w:before="120"/>
      </w:pPr>
      <w:r>
        <w:t xml:space="preserve">The medical practitioner must be approved by the Professional Boxing and Combat Sports Board at least 7 days before a contest or exhibition.   </w:t>
      </w:r>
    </w:p>
    <w:p w14:paraId="5789ABAB" w14:textId="77777777" w:rsidR="00E140F9" w:rsidRDefault="00E140F9" w:rsidP="00E140F9">
      <w:pPr>
        <w:pStyle w:val="DHHSbody"/>
        <w:spacing w:before="120"/>
      </w:pPr>
      <w:r>
        <w:t>The medical practitioner is responsible for supplying all necessary medical equipment, including but not limited to the following:</w:t>
      </w:r>
    </w:p>
    <w:p w14:paraId="5789ABAC" w14:textId="77777777" w:rsidR="00E140F9" w:rsidRDefault="00E140F9" w:rsidP="00633189">
      <w:pPr>
        <w:pStyle w:val="DHHSbullet1"/>
      </w:pPr>
      <w:r>
        <w:t>basic doctor’s bag kits, including disposa</w:t>
      </w:r>
      <w:r w:rsidR="003A5B21">
        <w:t>b</w:t>
      </w:r>
      <w:r>
        <w:t>l</w:t>
      </w:r>
      <w:r w:rsidR="003A5B21">
        <w:t>e</w:t>
      </w:r>
      <w:r>
        <w:t xml:space="preserve"> gloves and gauze swabs</w:t>
      </w:r>
    </w:p>
    <w:p w14:paraId="5789ABAD" w14:textId="77777777" w:rsidR="00E140F9" w:rsidRDefault="00E140F9" w:rsidP="00633189">
      <w:pPr>
        <w:pStyle w:val="DHHSbullet1"/>
      </w:pPr>
      <w:r>
        <w:t>auriscope and opthalmoscope</w:t>
      </w:r>
    </w:p>
    <w:p w14:paraId="5789ABAE" w14:textId="77777777" w:rsidR="00E140F9" w:rsidRDefault="00E140F9" w:rsidP="00633189">
      <w:pPr>
        <w:pStyle w:val="DHHSbullet1"/>
      </w:pPr>
      <w:r>
        <w:t>airway support equipment</w:t>
      </w:r>
    </w:p>
    <w:p w14:paraId="5789ABAF" w14:textId="77777777" w:rsidR="00E140F9" w:rsidRDefault="00E140F9" w:rsidP="00633189">
      <w:pPr>
        <w:pStyle w:val="DHHSbullet1"/>
      </w:pPr>
      <w:r>
        <w:t>oxy-viva mask</w:t>
      </w:r>
    </w:p>
    <w:p w14:paraId="5789ABB0" w14:textId="77777777" w:rsidR="00E140F9" w:rsidRDefault="00E140F9" w:rsidP="00633189">
      <w:pPr>
        <w:pStyle w:val="DHHSbullet1"/>
      </w:pPr>
      <w:r>
        <w:t>oxygen</w:t>
      </w:r>
    </w:p>
    <w:p w14:paraId="5789ABB1" w14:textId="77777777" w:rsidR="00E140F9" w:rsidRDefault="00E140F9" w:rsidP="00E140F9">
      <w:pPr>
        <w:pStyle w:val="DHHSbody"/>
        <w:spacing w:before="120"/>
      </w:pPr>
      <w:r>
        <w:t>The medical practitioner must undertake a pre-contest examination of each contestant within 24 hours of the contest or exhibition.</w:t>
      </w:r>
    </w:p>
    <w:p w14:paraId="5789ABB2" w14:textId="77777777" w:rsidR="00E140F9" w:rsidRDefault="00E140F9" w:rsidP="00E140F9">
      <w:pPr>
        <w:pStyle w:val="DHHSbody"/>
        <w:spacing w:before="120"/>
      </w:pPr>
      <w:r>
        <w:t xml:space="preserve">The medical practitioner must undertake a post-contest examination of each contestant before the contestant leaves the </w:t>
      </w:r>
      <w:r w:rsidR="00504893">
        <w:t xml:space="preserve">venue of the </w:t>
      </w:r>
      <w:r>
        <w:t>contest or exhibition.</w:t>
      </w:r>
    </w:p>
    <w:p w14:paraId="5789ABB3" w14:textId="77777777" w:rsidR="00E140F9" w:rsidRDefault="00E140F9" w:rsidP="00265574">
      <w:pPr>
        <w:pStyle w:val="DHHSmainsubheading"/>
      </w:pPr>
      <w:r>
        <w:lastRenderedPageBreak/>
        <w:t>Before the commencement of a contest or exhibition</w:t>
      </w:r>
    </w:p>
    <w:p w14:paraId="5789ABB4" w14:textId="77777777" w:rsidR="00E140F9" w:rsidRDefault="00E140F9" w:rsidP="00E140F9">
      <w:pPr>
        <w:pStyle w:val="DHHSbody"/>
        <w:spacing w:before="120"/>
      </w:pPr>
      <w:r>
        <w:t xml:space="preserve">The medical practitioner and the referee must agree on a clear, pre-determined means, whether by bell, hammer, prescribed hand signal or another method, by which the medical practitioner can: </w:t>
      </w:r>
    </w:p>
    <w:p w14:paraId="5789ABB5" w14:textId="77777777" w:rsidR="00E140F9" w:rsidRDefault="00E140F9" w:rsidP="00633189">
      <w:pPr>
        <w:pStyle w:val="DHHSnumberdigit"/>
        <w:numPr>
          <w:ilvl w:val="0"/>
          <w:numId w:val="12"/>
        </w:numPr>
      </w:pPr>
      <w:r>
        <w:t>indicate the need for</w:t>
      </w:r>
      <w:r w:rsidR="00504893">
        <w:t>,</w:t>
      </w:r>
      <w:r>
        <w:t xml:space="preserve"> or desirability of</w:t>
      </w:r>
      <w:r w:rsidR="00504893">
        <w:t>,</w:t>
      </w:r>
      <w:r>
        <w:t xml:space="preserve"> a medical examination of a contestant during the contest or exhibition; and</w:t>
      </w:r>
    </w:p>
    <w:p w14:paraId="5789ABB6" w14:textId="77777777" w:rsidR="00E140F9" w:rsidRDefault="00E140F9" w:rsidP="00633189">
      <w:pPr>
        <w:pStyle w:val="DHHSnumberdigit"/>
      </w:pPr>
      <w:r>
        <w:t>stop the contest or exhibition.</w:t>
      </w:r>
    </w:p>
    <w:p w14:paraId="5789ABB7" w14:textId="77777777" w:rsidR="00E140F9" w:rsidRDefault="00E140F9" w:rsidP="00E140F9">
      <w:pPr>
        <w:pStyle w:val="DHHSbody"/>
        <w:spacing w:before="120"/>
      </w:pPr>
      <w:r>
        <w:t>An adult person must be nominated to call emergency services if required.  This person must remain ringside during each bout and during any medical emergency.  The medical practitioner and the nominated person must agree on a clear, pre-determined means, whether by prescribed hand signal or another method, by which the medical practitioner will instruct the person to call emergency services.  The nominated person must know the name and street address of the venue.</w:t>
      </w:r>
    </w:p>
    <w:p w14:paraId="5789ABB8" w14:textId="77777777" w:rsidR="00E140F9" w:rsidRDefault="00E140F9" w:rsidP="00E140F9">
      <w:pPr>
        <w:pStyle w:val="DHHSbody"/>
        <w:spacing w:before="120"/>
      </w:pPr>
      <w:r>
        <w:t xml:space="preserve">Paramedics must have a clear, unobstructed route to access the ring/safety enclosure to allow for the unimpeded evacuate an injured contestant.  An officer of the recognised amateur association must inspect this route with the medical practitioner prior to the commencement of the contest or exhibition. </w:t>
      </w:r>
    </w:p>
    <w:p w14:paraId="5789ABB9" w14:textId="77777777" w:rsidR="00E140F9" w:rsidRDefault="00E140F9" w:rsidP="00E140F9">
      <w:pPr>
        <w:pStyle w:val="DHHSbody"/>
        <w:spacing w:before="120"/>
      </w:pPr>
      <w:r>
        <w:t>A spinal board must be kept beside the ring/safety enclosure for the duration of each contest or exhibition.</w:t>
      </w:r>
    </w:p>
    <w:p w14:paraId="5789ABBA" w14:textId="77777777" w:rsidR="00E140F9" w:rsidRDefault="00E140F9" w:rsidP="00265574">
      <w:pPr>
        <w:pStyle w:val="DHHSmainsubheading"/>
      </w:pPr>
      <w:r>
        <w:t xml:space="preserve">During the contest </w:t>
      </w:r>
    </w:p>
    <w:p w14:paraId="5789ABBB" w14:textId="77777777" w:rsidR="00E140F9" w:rsidRDefault="00E140F9" w:rsidP="00E140F9">
      <w:pPr>
        <w:pStyle w:val="DHHSbody"/>
        <w:spacing w:before="120"/>
      </w:pPr>
      <w:r>
        <w:t>A contest or exhibition can only commence or continue when a medical practitioner is at ringside.</w:t>
      </w:r>
    </w:p>
    <w:p w14:paraId="5789ABBC" w14:textId="77777777" w:rsidR="00E140F9" w:rsidRDefault="00E140F9" w:rsidP="00E140F9">
      <w:pPr>
        <w:pStyle w:val="DHHSbody"/>
        <w:spacing w:before="120"/>
      </w:pPr>
      <w:r>
        <w:t>The medical practitioner must sit ringside in a position:</w:t>
      </w:r>
    </w:p>
    <w:p w14:paraId="5789ABBD" w14:textId="77777777" w:rsidR="00E140F9" w:rsidRDefault="00E140F9" w:rsidP="00633189">
      <w:pPr>
        <w:pStyle w:val="DHHSnumberloweralpha"/>
        <w:numPr>
          <w:ilvl w:val="2"/>
          <w:numId w:val="13"/>
        </w:numPr>
      </w:pPr>
      <w:r>
        <w:t xml:space="preserve">adjacent to the stairs to allow prompt access to the ring/safety enclosure; </w:t>
      </w:r>
    </w:p>
    <w:p w14:paraId="5789ABBE" w14:textId="77777777" w:rsidR="00E140F9" w:rsidRDefault="00E140F9" w:rsidP="00633189">
      <w:pPr>
        <w:pStyle w:val="DHHSnumberloweralpha"/>
      </w:pPr>
      <w:r>
        <w:t>that allows effective communication with the referee; and</w:t>
      </w:r>
    </w:p>
    <w:p w14:paraId="5789ABBF" w14:textId="77777777" w:rsidR="00E140F9" w:rsidRDefault="00E140F9" w:rsidP="00633189">
      <w:pPr>
        <w:pStyle w:val="DHHSnumberloweralpha"/>
      </w:pPr>
      <w:r>
        <w:t xml:space="preserve">that ensures that they have an unobstructed view of the contestants at all time during a contest or exhibition, including between rounds.  </w:t>
      </w:r>
    </w:p>
    <w:p w14:paraId="5789ABC0" w14:textId="77777777" w:rsidR="00E140F9" w:rsidRDefault="00E140F9" w:rsidP="00E140F9">
      <w:pPr>
        <w:pStyle w:val="DHHSbody"/>
        <w:spacing w:before="120"/>
      </w:pPr>
      <w:r>
        <w:t>The medical practitioner must examine a contestant at any time during a contest or exhibition in order to determine if:</w:t>
      </w:r>
    </w:p>
    <w:p w14:paraId="5789ABC1" w14:textId="77777777" w:rsidR="00E140F9" w:rsidRDefault="00E140F9" w:rsidP="00633189">
      <w:pPr>
        <w:pStyle w:val="DHHSnumberloweralpha"/>
        <w:numPr>
          <w:ilvl w:val="2"/>
          <w:numId w:val="14"/>
        </w:numPr>
      </w:pPr>
      <w:r>
        <w:t>there is a serious impairment of the contestant’s ability to defend him or herself;</w:t>
      </w:r>
    </w:p>
    <w:p w14:paraId="5789ABC2" w14:textId="77777777" w:rsidR="00E140F9" w:rsidRDefault="00E140F9" w:rsidP="00633189">
      <w:pPr>
        <w:pStyle w:val="DHHSnumberloweralpha"/>
      </w:pPr>
      <w:r>
        <w:t xml:space="preserve">there is a likelihood of serious injury to the contestant’s health if the contestant were to continue; </w:t>
      </w:r>
      <w:r w:rsidR="00504893">
        <w:t>and/</w:t>
      </w:r>
      <w:r w:rsidR="003A5B21">
        <w:t>or</w:t>
      </w:r>
    </w:p>
    <w:p w14:paraId="5789ABC3" w14:textId="77777777" w:rsidR="00E140F9" w:rsidRDefault="00E140F9" w:rsidP="00633189">
      <w:pPr>
        <w:pStyle w:val="DHHSnumberloweralpha"/>
      </w:pPr>
      <w:r>
        <w:t>it is desirable to do so in the interests of the safety or welfare of the contestant.</w:t>
      </w:r>
    </w:p>
    <w:p w14:paraId="5789ABC4" w14:textId="77777777" w:rsidR="00E140F9" w:rsidRDefault="00E140F9" w:rsidP="00E140F9">
      <w:pPr>
        <w:pStyle w:val="DHHSbody"/>
        <w:spacing w:before="120"/>
      </w:pPr>
      <w:r>
        <w:t>The medical practitioner will indicate the need to examine a contestant to the referee using a predetermined method agreed with the referee.</w:t>
      </w:r>
    </w:p>
    <w:p w14:paraId="5789ABC5" w14:textId="77777777" w:rsidR="00E140F9" w:rsidRDefault="00E140F9" w:rsidP="00E140F9">
      <w:pPr>
        <w:pStyle w:val="DHHSbody"/>
        <w:spacing w:before="120"/>
      </w:pPr>
      <w:r>
        <w:t>The referee must confer with the medical practitioner about the need for a medical examination following any round in which a contestant:</w:t>
      </w:r>
    </w:p>
    <w:p w14:paraId="5789ABC6" w14:textId="77777777" w:rsidR="00E140F9" w:rsidRDefault="00E140F9" w:rsidP="00633189">
      <w:pPr>
        <w:pStyle w:val="DHHSnumberloweralpha"/>
        <w:numPr>
          <w:ilvl w:val="2"/>
          <w:numId w:val="15"/>
        </w:numPr>
      </w:pPr>
      <w:r>
        <w:t>receives heavy punishment;</w:t>
      </w:r>
    </w:p>
    <w:p w14:paraId="5789ABC7" w14:textId="77777777" w:rsidR="00E140F9" w:rsidRDefault="00E140F9" w:rsidP="00633189">
      <w:pPr>
        <w:pStyle w:val="DHHSnumberloweralpha"/>
      </w:pPr>
      <w:r>
        <w:t xml:space="preserve">receives a significant number of heavy blows to the head; and/or </w:t>
      </w:r>
    </w:p>
    <w:p w14:paraId="5789ABC8" w14:textId="77777777" w:rsidR="00E140F9" w:rsidRDefault="00E140F9" w:rsidP="00633189">
      <w:pPr>
        <w:pStyle w:val="DHHSnumberloweralpha"/>
      </w:pPr>
      <w:r>
        <w:t>appears to be suffering from signs and symptoms consistent with a concussion.</w:t>
      </w:r>
    </w:p>
    <w:p w14:paraId="5789ABC9" w14:textId="77777777" w:rsidR="00E140F9" w:rsidRDefault="00E140F9" w:rsidP="00265574">
      <w:pPr>
        <w:pStyle w:val="DHHSmainsubheading"/>
      </w:pPr>
      <w:r>
        <w:t>Authority to Stop a Contest</w:t>
      </w:r>
    </w:p>
    <w:p w14:paraId="5789ABCA" w14:textId="77777777" w:rsidR="00E140F9" w:rsidRDefault="00E140F9" w:rsidP="00E140F9">
      <w:pPr>
        <w:pStyle w:val="DHHSbody"/>
        <w:spacing w:before="120"/>
      </w:pPr>
      <w:r>
        <w:t>The medical practitioner has the authority to stop a contest or exhibition at any time if, in the view of the medical practitioner:</w:t>
      </w:r>
    </w:p>
    <w:p w14:paraId="5789ABCB" w14:textId="77777777" w:rsidR="00E140F9" w:rsidRDefault="00E140F9" w:rsidP="0078766D">
      <w:pPr>
        <w:pStyle w:val="DHHSnumberloweralpha"/>
        <w:numPr>
          <w:ilvl w:val="2"/>
          <w:numId w:val="16"/>
        </w:numPr>
      </w:pPr>
      <w:r>
        <w:t>there is a serious impairment of a contestant’s ability to defend him or herself;</w:t>
      </w:r>
    </w:p>
    <w:p w14:paraId="5789ABCC" w14:textId="77777777" w:rsidR="00E140F9" w:rsidRDefault="00E140F9" w:rsidP="0078766D">
      <w:pPr>
        <w:pStyle w:val="DHHSnumberloweralpha"/>
      </w:pPr>
      <w:r>
        <w:t xml:space="preserve">there is a likelihood of serious injury to a Contestant’s health if the contest were to continue; </w:t>
      </w:r>
      <w:r w:rsidR="00504893">
        <w:t>and/</w:t>
      </w:r>
      <w:r w:rsidR="003A5B21">
        <w:t>or</w:t>
      </w:r>
    </w:p>
    <w:p w14:paraId="5789ABCD" w14:textId="77777777" w:rsidR="00E140F9" w:rsidRDefault="00E140F9" w:rsidP="0078766D">
      <w:pPr>
        <w:pStyle w:val="DHHSnumberloweralpha"/>
      </w:pPr>
      <w:r>
        <w:t>it is desirable to do so in the interests of the safety or welfare of a contestant.</w:t>
      </w:r>
    </w:p>
    <w:p w14:paraId="5789ABCE" w14:textId="77777777" w:rsidR="00E140F9" w:rsidRDefault="00E140F9" w:rsidP="00E140F9">
      <w:pPr>
        <w:pStyle w:val="DHHSbody"/>
        <w:spacing w:before="120"/>
      </w:pPr>
      <w:r>
        <w:t>The medical practitioner will stop a contest or exhibition by communicating to the referee using the predetermined agreed method.</w:t>
      </w:r>
    </w:p>
    <w:p w14:paraId="5789ABCF" w14:textId="77777777" w:rsidR="00E140F9" w:rsidRDefault="00E140F9" w:rsidP="00265574">
      <w:pPr>
        <w:pStyle w:val="DHHSmainsubheading"/>
      </w:pPr>
      <w:r>
        <w:t>Non-fight Periods</w:t>
      </w:r>
    </w:p>
    <w:p w14:paraId="5789ABD0" w14:textId="77777777" w:rsidR="00E140F9" w:rsidRDefault="00E140F9" w:rsidP="00E140F9">
      <w:pPr>
        <w:pStyle w:val="DHHSbody"/>
        <w:spacing w:before="120"/>
      </w:pPr>
      <w:r>
        <w:t>The minimum non-fight periods set out below apply to every contest and exhibition unless otherwise agreed in writing by the Board:</w:t>
      </w:r>
    </w:p>
    <w:p w14:paraId="5789ABD1" w14:textId="77777777" w:rsidR="00E140F9" w:rsidRDefault="00E140F9" w:rsidP="00E140F9">
      <w:pPr>
        <w:pStyle w:val="DHHSbody"/>
        <w:spacing w:before="120"/>
      </w:pPr>
      <w:r>
        <w:t>The medical practitioner may impose a minimum non-fight period on a contestant.  The non-fight periods in the table above will, however, supersede any shorter suspension period imposed by a medical practitioner at a contest or exhibition.</w:t>
      </w:r>
    </w:p>
    <w:p w14:paraId="5789ABD2" w14:textId="77777777" w:rsidR="00E140F9" w:rsidRDefault="00E140F9" w:rsidP="00E140F9">
      <w:pPr>
        <w:pStyle w:val="DHHSbody"/>
        <w:spacing w:before="120"/>
      </w:pPr>
      <w:r>
        <w:t>The medical practitioner may require that the contestant undergo a medical clearance before the contestant’s next contest or exhibition.</w:t>
      </w:r>
    </w:p>
    <w:tbl>
      <w:tblPr>
        <w:tblStyle w:val="TableGrid"/>
        <w:tblW w:w="8079" w:type="dxa"/>
        <w:tblInd w:w="1101" w:type="dxa"/>
        <w:tblBorders>
          <w:top w:val="single" w:sz="4" w:space="0" w:color="286280"/>
          <w:left w:val="single" w:sz="4" w:space="0" w:color="286280"/>
          <w:bottom w:val="single" w:sz="4" w:space="0" w:color="286280"/>
          <w:right w:val="single" w:sz="4" w:space="0" w:color="286280"/>
          <w:insideH w:val="single" w:sz="4" w:space="0" w:color="286280"/>
          <w:insideV w:val="single" w:sz="4" w:space="0" w:color="286280"/>
        </w:tblBorders>
        <w:tblLook w:val="04A0" w:firstRow="1" w:lastRow="0" w:firstColumn="1" w:lastColumn="0" w:noHBand="0" w:noVBand="1"/>
      </w:tblPr>
      <w:tblGrid>
        <w:gridCol w:w="4110"/>
        <w:gridCol w:w="3969"/>
      </w:tblGrid>
      <w:tr w:rsidR="0078766D" w:rsidRPr="00C62421" w14:paraId="5789ABD5" w14:textId="77777777" w:rsidTr="00BB25D5">
        <w:trPr>
          <w:trHeight w:val="397"/>
        </w:trPr>
        <w:tc>
          <w:tcPr>
            <w:tcW w:w="4110" w:type="dxa"/>
          </w:tcPr>
          <w:p w14:paraId="5789ABD3" w14:textId="77777777" w:rsidR="0078766D" w:rsidRPr="00C62421" w:rsidRDefault="0078766D" w:rsidP="0078766D">
            <w:pPr>
              <w:pStyle w:val="DHHStablecolhead"/>
              <w:spacing w:before="120" w:after="120"/>
              <w:jc w:val="center"/>
            </w:pPr>
            <w:r>
              <w:t>Contest Outcome</w:t>
            </w:r>
          </w:p>
        </w:tc>
        <w:tc>
          <w:tcPr>
            <w:tcW w:w="3969" w:type="dxa"/>
          </w:tcPr>
          <w:p w14:paraId="5789ABD4" w14:textId="77777777" w:rsidR="0078766D" w:rsidRPr="00C62421" w:rsidRDefault="0078766D" w:rsidP="0078766D">
            <w:pPr>
              <w:pStyle w:val="DHHStablecolhead"/>
              <w:spacing w:before="120" w:after="120"/>
              <w:jc w:val="center"/>
            </w:pPr>
            <w:r>
              <w:t>Non-fight period</w:t>
            </w:r>
          </w:p>
        </w:tc>
      </w:tr>
      <w:tr w:rsidR="0078766D" w:rsidRPr="00C62421" w14:paraId="5789ABD8" w14:textId="77777777" w:rsidTr="00265574">
        <w:trPr>
          <w:trHeight w:val="397"/>
        </w:trPr>
        <w:tc>
          <w:tcPr>
            <w:tcW w:w="4110" w:type="dxa"/>
          </w:tcPr>
          <w:p w14:paraId="5789ABD6" w14:textId="77777777" w:rsidR="0078766D" w:rsidRPr="00C62421" w:rsidRDefault="0078766D" w:rsidP="0078766D">
            <w:pPr>
              <w:pStyle w:val="DHHStabletext"/>
              <w:spacing w:before="120" w:after="120"/>
              <w:jc w:val="center"/>
            </w:pPr>
            <w:r w:rsidRPr="0078766D">
              <w:t>Any period of unconsciousness or injury requiring the contest to be stopped because the co</w:t>
            </w:r>
            <w:r>
              <w:t>ntestant was unable to continue</w:t>
            </w:r>
          </w:p>
        </w:tc>
        <w:tc>
          <w:tcPr>
            <w:tcW w:w="3969" w:type="dxa"/>
          </w:tcPr>
          <w:p w14:paraId="5789ABD7" w14:textId="77777777" w:rsidR="0078766D" w:rsidRPr="00C62421" w:rsidRDefault="0078766D" w:rsidP="0078766D">
            <w:pPr>
              <w:pStyle w:val="DHHStabletext"/>
              <w:spacing w:before="120" w:after="120"/>
              <w:jc w:val="center"/>
            </w:pPr>
            <w:r>
              <w:t>30 days</w:t>
            </w:r>
          </w:p>
        </w:tc>
      </w:tr>
      <w:tr w:rsidR="0078766D" w:rsidRPr="00C62421" w14:paraId="5789ABDB" w14:textId="77777777" w:rsidTr="00265574">
        <w:trPr>
          <w:trHeight w:val="397"/>
        </w:trPr>
        <w:tc>
          <w:tcPr>
            <w:tcW w:w="4110" w:type="dxa"/>
          </w:tcPr>
          <w:p w14:paraId="5789ABD9" w14:textId="77777777" w:rsidR="0078766D" w:rsidRPr="00C62421" w:rsidRDefault="0078766D" w:rsidP="0078766D">
            <w:pPr>
              <w:pStyle w:val="DHHStabletext"/>
              <w:spacing w:before="120" w:after="120"/>
              <w:jc w:val="center"/>
            </w:pPr>
            <w:r w:rsidRPr="0078766D">
              <w:t>Knockout or technical knockout</w:t>
            </w:r>
          </w:p>
        </w:tc>
        <w:tc>
          <w:tcPr>
            <w:tcW w:w="3969" w:type="dxa"/>
          </w:tcPr>
          <w:p w14:paraId="5789ABDA" w14:textId="77777777" w:rsidR="0078766D" w:rsidRPr="00C62421" w:rsidRDefault="0078766D" w:rsidP="0078766D">
            <w:pPr>
              <w:pStyle w:val="DHHStabletext"/>
              <w:spacing w:before="120" w:after="120"/>
              <w:jc w:val="center"/>
            </w:pPr>
            <w:r>
              <w:t>30 days</w:t>
            </w:r>
          </w:p>
        </w:tc>
      </w:tr>
      <w:tr w:rsidR="0078766D" w:rsidRPr="00C62421" w14:paraId="5789ABDE" w14:textId="77777777" w:rsidTr="00265574">
        <w:trPr>
          <w:trHeight w:val="397"/>
        </w:trPr>
        <w:tc>
          <w:tcPr>
            <w:tcW w:w="4110" w:type="dxa"/>
          </w:tcPr>
          <w:p w14:paraId="5789ABDC" w14:textId="77777777" w:rsidR="0078766D" w:rsidRPr="00C62421" w:rsidRDefault="0078766D" w:rsidP="0078766D">
            <w:pPr>
              <w:pStyle w:val="DHHStabletext"/>
              <w:spacing w:before="120" w:after="120"/>
              <w:jc w:val="center"/>
            </w:pPr>
            <w:r w:rsidRPr="0078766D">
              <w:t>Second consecutive knockout or technical knockout</w:t>
            </w:r>
          </w:p>
        </w:tc>
        <w:tc>
          <w:tcPr>
            <w:tcW w:w="3969" w:type="dxa"/>
          </w:tcPr>
          <w:p w14:paraId="5789ABDD" w14:textId="77777777" w:rsidR="0078766D" w:rsidRPr="00C62421" w:rsidRDefault="0078766D" w:rsidP="0078766D">
            <w:pPr>
              <w:pStyle w:val="DHHStabletext"/>
              <w:spacing w:before="120" w:after="120"/>
              <w:jc w:val="center"/>
            </w:pPr>
            <w:r>
              <w:t>60 days</w:t>
            </w:r>
          </w:p>
        </w:tc>
      </w:tr>
      <w:tr w:rsidR="0078766D" w:rsidRPr="00C62421" w14:paraId="5789ABE1" w14:textId="77777777" w:rsidTr="00265574">
        <w:trPr>
          <w:trHeight w:val="397"/>
        </w:trPr>
        <w:tc>
          <w:tcPr>
            <w:tcW w:w="4110" w:type="dxa"/>
          </w:tcPr>
          <w:p w14:paraId="5789ABDF" w14:textId="77777777" w:rsidR="0078766D" w:rsidRPr="00C62421" w:rsidRDefault="0078766D" w:rsidP="0078766D">
            <w:pPr>
              <w:pStyle w:val="DHHStabletext"/>
              <w:spacing w:before="120" w:after="120"/>
              <w:jc w:val="center"/>
            </w:pPr>
            <w:r w:rsidRPr="0078766D">
              <w:t>Third consecutive knockout or technical knockout</w:t>
            </w:r>
          </w:p>
        </w:tc>
        <w:tc>
          <w:tcPr>
            <w:tcW w:w="3969" w:type="dxa"/>
          </w:tcPr>
          <w:p w14:paraId="5789ABE0" w14:textId="77777777" w:rsidR="0078766D" w:rsidRPr="00C62421" w:rsidRDefault="0078766D" w:rsidP="0078766D">
            <w:pPr>
              <w:pStyle w:val="DHHStabletext"/>
              <w:spacing w:before="120" w:after="120"/>
              <w:jc w:val="center"/>
            </w:pPr>
            <w:r>
              <w:t>90 days</w:t>
            </w:r>
          </w:p>
        </w:tc>
      </w:tr>
      <w:tr w:rsidR="0078766D" w:rsidRPr="00C62421" w14:paraId="5789ABE4" w14:textId="77777777" w:rsidTr="00265574">
        <w:trPr>
          <w:trHeight w:val="397"/>
        </w:trPr>
        <w:tc>
          <w:tcPr>
            <w:tcW w:w="4110" w:type="dxa"/>
          </w:tcPr>
          <w:p w14:paraId="5789ABE2" w14:textId="77777777" w:rsidR="0078766D" w:rsidRPr="00C62421" w:rsidRDefault="0078766D" w:rsidP="0078766D">
            <w:pPr>
              <w:pStyle w:val="DHHStabletext"/>
              <w:spacing w:before="120" w:after="120"/>
              <w:jc w:val="center"/>
            </w:pPr>
            <w:r>
              <w:t>Fourth consecutive knockout of technical knockout</w:t>
            </w:r>
          </w:p>
        </w:tc>
        <w:tc>
          <w:tcPr>
            <w:tcW w:w="3969" w:type="dxa"/>
          </w:tcPr>
          <w:p w14:paraId="5789ABE3" w14:textId="77777777" w:rsidR="0078766D" w:rsidRPr="00C62421" w:rsidRDefault="0078766D" w:rsidP="0078766D">
            <w:pPr>
              <w:pStyle w:val="DHHStabletext"/>
              <w:spacing w:before="120" w:after="120"/>
              <w:jc w:val="center"/>
            </w:pPr>
            <w:r>
              <w:t>W</w:t>
            </w:r>
            <w:r w:rsidRPr="008A066B">
              <w:t xml:space="preserve">ill result in reassessment of </w:t>
            </w:r>
            <w:r>
              <w:t>the contestant</w:t>
            </w:r>
            <w:r w:rsidRPr="008A066B">
              <w:t xml:space="preserve">’s registration by the </w:t>
            </w:r>
            <w:r>
              <w:t>recognised amateur association</w:t>
            </w:r>
          </w:p>
        </w:tc>
      </w:tr>
    </w:tbl>
    <w:p w14:paraId="5789ABE5" w14:textId="77777777" w:rsidR="00E140F9" w:rsidRDefault="00E140F9" w:rsidP="00265574">
      <w:pPr>
        <w:pStyle w:val="DHHSmainsubheading"/>
      </w:pPr>
      <w:r>
        <w:t xml:space="preserve">Concussed contestants </w:t>
      </w:r>
    </w:p>
    <w:p w14:paraId="5789ABE6" w14:textId="77777777" w:rsidR="00E140F9" w:rsidRDefault="00E140F9" w:rsidP="00E140F9">
      <w:pPr>
        <w:pStyle w:val="DHHSbody"/>
        <w:spacing w:before="120"/>
      </w:pPr>
      <w:r>
        <w:t xml:space="preserve">The attending medical practitioner’s finding that a contestant is concussed is final.  </w:t>
      </w:r>
    </w:p>
    <w:p w14:paraId="5789ABE7" w14:textId="77777777" w:rsidR="00E140F9" w:rsidRDefault="00E140F9" w:rsidP="00E140F9">
      <w:pPr>
        <w:pStyle w:val="DHHSbody"/>
        <w:spacing w:before="120"/>
      </w:pPr>
      <w:r>
        <w:t>A concussed contestant must follow the Concussion Management Guidelines set out in below or as otherwise prescribed, in writing, by a health care professional who has experience in treating brain injuries (e.g. ringside doctor or concussion specialist).</w:t>
      </w:r>
    </w:p>
    <w:p w14:paraId="5789ABE8" w14:textId="77777777" w:rsidR="00E140F9" w:rsidRDefault="00E140F9" w:rsidP="00265574">
      <w:pPr>
        <w:pStyle w:val="DHHSmainsubheading"/>
      </w:pPr>
      <w:r>
        <w:t>Concussion Management Guidelines</w:t>
      </w:r>
    </w:p>
    <w:p w14:paraId="5789ABE9" w14:textId="77777777" w:rsidR="00E140F9" w:rsidRDefault="00E140F9" w:rsidP="00E140F9">
      <w:pPr>
        <w:pStyle w:val="DHHSbody"/>
        <w:spacing w:before="120"/>
      </w:pPr>
      <w:r>
        <w:t>Concussed contestants must:</w:t>
      </w:r>
    </w:p>
    <w:p w14:paraId="5789ABEA" w14:textId="77777777" w:rsidR="00E140F9" w:rsidRDefault="009321B5" w:rsidP="009321B5">
      <w:pPr>
        <w:pStyle w:val="DHHSnumberloweralpha"/>
        <w:numPr>
          <w:ilvl w:val="2"/>
          <w:numId w:val="17"/>
        </w:numPr>
      </w:pPr>
      <w:r>
        <w:t>n</w:t>
      </w:r>
      <w:r w:rsidR="00E140F9">
        <w:t>ot drink alcohol while symptoms persist, particularly not after a contest;</w:t>
      </w:r>
    </w:p>
    <w:p w14:paraId="5789ABEB" w14:textId="77777777" w:rsidR="00E140F9" w:rsidRDefault="009321B5" w:rsidP="009321B5">
      <w:pPr>
        <w:pStyle w:val="DHHSnumberloweralpha"/>
      </w:pPr>
      <w:r>
        <w:t>g</w:t>
      </w:r>
      <w:r w:rsidR="00E140F9">
        <w:t>et as much rest as possible (physical and cognitive) – avoid physically demanding activities (e.g. training, heavy physical work) or those that require a lot of thinking or concentration (e.g. computer work or video games) while symptoms persist;</w:t>
      </w:r>
    </w:p>
    <w:p w14:paraId="5789ABEC" w14:textId="77777777" w:rsidR="00E140F9" w:rsidRDefault="009321B5" w:rsidP="009321B5">
      <w:pPr>
        <w:pStyle w:val="DHHSnumberloweralpha"/>
      </w:pPr>
      <w:r>
        <w:t xml:space="preserve">not </w:t>
      </w:r>
      <w:r w:rsidR="00E140F9">
        <w:t xml:space="preserve">return to sparring until medical clearance has been obtained from a medical practitioner;   </w:t>
      </w:r>
    </w:p>
    <w:p w14:paraId="5789ABED" w14:textId="77777777" w:rsidR="00E140F9" w:rsidRDefault="009321B5" w:rsidP="009321B5">
      <w:pPr>
        <w:pStyle w:val="DHHSnumberloweralpha"/>
      </w:pPr>
      <w:r>
        <w:t xml:space="preserve">immediately </w:t>
      </w:r>
      <w:r w:rsidR="00E140F9">
        <w:t>attend a hospital emergency department if the following symptoms are experienced:</w:t>
      </w:r>
    </w:p>
    <w:p w14:paraId="5789ABEE" w14:textId="77777777" w:rsidR="00E140F9" w:rsidRDefault="00E140F9" w:rsidP="009321B5">
      <w:pPr>
        <w:pStyle w:val="DHHSbulletindent"/>
      </w:pPr>
      <w:r>
        <w:t xml:space="preserve">repeated vomiting  </w:t>
      </w:r>
    </w:p>
    <w:p w14:paraId="5789ABEF" w14:textId="77777777" w:rsidR="00E140F9" w:rsidRDefault="00E140F9" w:rsidP="009321B5">
      <w:pPr>
        <w:pStyle w:val="DHHSbulletindent"/>
      </w:pPr>
      <w:r>
        <w:t xml:space="preserve">increasing and persistent headache  </w:t>
      </w:r>
    </w:p>
    <w:p w14:paraId="5789ABF0" w14:textId="77777777" w:rsidR="00E140F9" w:rsidRDefault="00E140F9" w:rsidP="009321B5">
      <w:pPr>
        <w:pStyle w:val="DHHSbulletindent"/>
      </w:pPr>
      <w:r>
        <w:t xml:space="preserve">loss of consciousness </w:t>
      </w:r>
    </w:p>
    <w:p w14:paraId="5789ABF1" w14:textId="77777777" w:rsidR="00E140F9" w:rsidRDefault="00E140F9" w:rsidP="009321B5">
      <w:pPr>
        <w:pStyle w:val="DHHSbulletindent"/>
      </w:pPr>
      <w:r>
        <w:t xml:space="preserve">inability to stay awake during times when usually awake  </w:t>
      </w:r>
    </w:p>
    <w:p w14:paraId="5789ABF2" w14:textId="77777777" w:rsidR="00E140F9" w:rsidRDefault="00E140F9" w:rsidP="009321B5">
      <w:pPr>
        <w:pStyle w:val="DHHSbulletindent"/>
      </w:pPr>
      <w:r>
        <w:t xml:space="preserve">confusion  </w:t>
      </w:r>
      <w:r>
        <w:rPr>
          <w:rFonts w:ascii="Times New Roman" w:hAnsi="Times New Roman"/>
        </w:rPr>
        <w:t>◦</w:t>
      </w:r>
    </w:p>
    <w:p w14:paraId="5789ABF3" w14:textId="77777777" w:rsidR="00E140F9" w:rsidRDefault="00E140F9" w:rsidP="009321B5">
      <w:pPr>
        <w:pStyle w:val="DHHSbulletindent"/>
      </w:pPr>
      <w:r>
        <w:t xml:space="preserve">restlessness </w:t>
      </w:r>
      <w:r>
        <w:rPr>
          <w:rFonts w:ascii="Times New Roman" w:hAnsi="Times New Roman"/>
        </w:rPr>
        <w:t>◦</w:t>
      </w:r>
    </w:p>
    <w:p w14:paraId="5789ABF4" w14:textId="77777777" w:rsidR="00E140F9" w:rsidRDefault="00E140F9" w:rsidP="009321B5">
      <w:pPr>
        <w:pStyle w:val="DHHSbulletindent"/>
      </w:pPr>
      <w:r>
        <w:t xml:space="preserve">agitation </w:t>
      </w:r>
      <w:r>
        <w:rPr>
          <w:rFonts w:ascii="Times New Roman" w:hAnsi="Times New Roman"/>
        </w:rPr>
        <w:t>◦</w:t>
      </w:r>
      <w:r>
        <w:t xml:space="preserve"> </w:t>
      </w:r>
    </w:p>
    <w:p w14:paraId="5789ABF5" w14:textId="77777777" w:rsidR="00E140F9" w:rsidRDefault="00E140F9" w:rsidP="009321B5">
      <w:pPr>
        <w:pStyle w:val="DHHSbulletindent"/>
      </w:pPr>
      <w:r>
        <w:t xml:space="preserve">convulsions  </w:t>
      </w:r>
      <w:r>
        <w:rPr>
          <w:rFonts w:ascii="Times New Roman" w:hAnsi="Times New Roman"/>
        </w:rPr>
        <w:t>◦</w:t>
      </w:r>
      <w:r>
        <w:t xml:space="preserve"> seizures  </w:t>
      </w:r>
    </w:p>
    <w:p w14:paraId="5789ABF6" w14:textId="77777777" w:rsidR="00E140F9" w:rsidRDefault="00E140F9" w:rsidP="009321B5">
      <w:pPr>
        <w:pStyle w:val="DHHSbulletindent"/>
      </w:pPr>
      <w:r>
        <w:t xml:space="preserve">difficulty walking </w:t>
      </w:r>
      <w:r w:rsidR="009321B5">
        <w:t>or balancing</w:t>
      </w:r>
      <w:r>
        <w:t xml:space="preserve"> </w:t>
      </w:r>
      <w:r>
        <w:rPr>
          <w:rFonts w:ascii="Times New Roman" w:hAnsi="Times New Roman"/>
        </w:rPr>
        <w:t>◦</w:t>
      </w:r>
    </w:p>
    <w:p w14:paraId="5789ABF7" w14:textId="77777777" w:rsidR="00E140F9" w:rsidRDefault="00E140F9" w:rsidP="009321B5">
      <w:pPr>
        <w:pStyle w:val="DHHSbulletindent"/>
      </w:pPr>
      <w:r>
        <w:t xml:space="preserve">weakness or numbness  </w:t>
      </w:r>
    </w:p>
    <w:p w14:paraId="5789ABF8" w14:textId="77777777" w:rsidR="00E140F9" w:rsidRDefault="00E140F9" w:rsidP="009321B5">
      <w:pPr>
        <w:pStyle w:val="DHHSbulletindent"/>
      </w:pPr>
      <w:r>
        <w:t>blurring or difficulty with vision</w:t>
      </w:r>
    </w:p>
    <w:p w14:paraId="5789ABF9" w14:textId="77777777" w:rsidR="00E140F9" w:rsidRDefault="00E140F9" w:rsidP="00265574">
      <w:pPr>
        <w:pStyle w:val="DHHSbulletindentlastline"/>
      </w:pPr>
      <w:r>
        <w:t>slurred speech</w:t>
      </w:r>
    </w:p>
    <w:p w14:paraId="5789ABFA" w14:textId="77777777" w:rsidR="00E140F9" w:rsidRDefault="00265574" w:rsidP="00265574">
      <w:pPr>
        <w:pStyle w:val="DHHSnumberloweralpha"/>
        <w:numPr>
          <w:ilvl w:val="2"/>
          <w:numId w:val="17"/>
        </w:numPr>
      </w:pPr>
      <w:r>
        <w:t>s</w:t>
      </w:r>
      <w:r w:rsidR="00E140F9">
        <w:t>ee a health care professional who has experience in treating brain injuries (e.g. ringside doctor or other concussion specialist) if symptoms persist for more than 10 days; and</w:t>
      </w:r>
    </w:p>
    <w:p w14:paraId="5789ABFB" w14:textId="77777777" w:rsidR="00265574" w:rsidRDefault="00265574" w:rsidP="00265574">
      <w:pPr>
        <w:pStyle w:val="DHHSnumberloweralpha"/>
        <w:numPr>
          <w:ilvl w:val="2"/>
          <w:numId w:val="17"/>
        </w:numPr>
      </w:pPr>
      <w:r>
        <w:t>o</w:t>
      </w:r>
      <w:r w:rsidR="00E140F9">
        <w:t>bserve the Return To Fight Strategy set out below or as otherwise prescribed by a health care professional who has experience in treating brain injuries (e.g. ringside doctor or concussion specialist).</w:t>
      </w:r>
    </w:p>
    <w:p w14:paraId="5789ABFC" w14:textId="77777777" w:rsidR="00265574" w:rsidRPr="00505EB9" w:rsidRDefault="00265574" w:rsidP="00265574">
      <w:pPr>
        <w:pStyle w:val="Heading1"/>
        <w:spacing w:before="0" w:after="0" w:line="240" w:lineRule="auto"/>
        <w:rPr>
          <w:sz w:val="12"/>
        </w:rPr>
      </w:pPr>
    </w:p>
    <w:p w14:paraId="5789ABFD" w14:textId="77777777" w:rsidR="00265574" w:rsidRPr="007509CD" w:rsidRDefault="00265574" w:rsidP="00265574">
      <w:pPr>
        <w:pStyle w:val="DHHSaccessibilitypara"/>
        <w:pBdr>
          <w:top w:val="single" w:sz="4" w:space="1" w:color="286280"/>
          <w:left w:val="single" w:sz="4" w:space="4" w:color="286280"/>
          <w:bottom w:val="single" w:sz="4" w:space="1" w:color="286280"/>
          <w:right w:val="single" w:sz="4" w:space="4" w:color="286280"/>
        </w:pBdr>
        <w:rPr>
          <w:sz w:val="20"/>
        </w:rPr>
      </w:pPr>
      <w:r w:rsidRPr="007509CD">
        <w:rPr>
          <w:sz w:val="20"/>
        </w:rPr>
        <w:t xml:space="preserve">To receive this </w:t>
      </w:r>
      <w:r>
        <w:rPr>
          <w:sz w:val="20"/>
        </w:rPr>
        <w:t>document</w:t>
      </w:r>
      <w:r w:rsidRPr="007509CD">
        <w:rPr>
          <w:sz w:val="20"/>
        </w:rPr>
        <w:t xml:space="preserve"> in an accessible format </w:t>
      </w:r>
      <w:hyperlink r:id="rId16" w:history="1">
        <w:r w:rsidRPr="007509CD">
          <w:rPr>
            <w:rStyle w:val="Hyperlink"/>
            <w:sz w:val="20"/>
          </w:rPr>
          <w:t>email the Combat Sports Unit</w:t>
        </w:r>
      </w:hyperlink>
      <w:r w:rsidRPr="007509CD">
        <w:rPr>
          <w:sz w:val="20"/>
        </w:rPr>
        <w:t xml:space="preserve"> &lt;combat.sports@sport.vic.gov.au&gt;</w:t>
      </w:r>
    </w:p>
    <w:p w14:paraId="5789ABFE" w14:textId="1D62BBFD" w:rsidR="00265574" w:rsidRPr="00505EB9" w:rsidRDefault="00265574" w:rsidP="00265574">
      <w:pPr>
        <w:pStyle w:val="DHHSbody"/>
        <w:pBdr>
          <w:top w:val="single" w:sz="4" w:space="1" w:color="286280"/>
          <w:left w:val="single" w:sz="4" w:space="4" w:color="286280"/>
          <w:bottom w:val="single" w:sz="4" w:space="1" w:color="286280"/>
          <w:right w:val="single" w:sz="4" w:space="4" w:color="286280"/>
        </w:pBdr>
      </w:pPr>
      <w:r w:rsidRPr="00B6071F">
        <w:rPr>
          <w:sz w:val="16"/>
          <w:szCs w:val="16"/>
        </w:rPr>
        <w:t>Authorised and published by the Victorian Government, 1 Treasury Place, Melbourne.</w:t>
      </w:r>
      <w:r>
        <w:rPr>
          <w:sz w:val="16"/>
          <w:szCs w:val="16"/>
        </w:rPr>
        <w:t xml:space="preserve"> </w:t>
      </w:r>
      <w:r w:rsidRPr="00B6071F">
        <w:rPr>
          <w:sz w:val="16"/>
          <w:szCs w:val="16"/>
        </w:rPr>
        <w:t xml:space="preserve">© State of Victoria, Department of </w:t>
      </w:r>
      <w:r w:rsidR="003A5B21">
        <w:rPr>
          <w:sz w:val="16"/>
          <w:szCs w:val="16"/>
        </w:rPr>
        <w:t xml:space="preserve">Jobs, Precincts and Regions, </w:t>
      </w:r>
      <w:r w:rsidR="004224EA">
        <w:rPr>
          <w:sz w:val="16"/>
          <w:szCs w:val="16"/>
        </w:rPr>
        <w:t>July 2022</w:t>
      </w:r>
      <w:r w:rsidRPr="00B6071F">
        <w:rPr>
          <w:sz w:val="16"/>
          <w:szCs w:val="16"/>
        </w:rPr>
        <w:t>.</w:t>
      </w:r>
      <w:r>
        <w:rPr>
          <w:sz w:val="16"/>
          <w:szCs w:val="16"/>
        </w:rPr>
        <w:t xml:space="preserve"> </w:t>
      </w:r>
      <w:r w:rsidRPr="00B6071F">
        <w:rPr>
          <w:sz w:val="16"/>
          <w:szCs w:val="16"/>
        </w:rPr>
        <w:t xml:space="preserve">Available at </w:t>
      </w:r>
      <w:hyperlink r:id="rId17" w:history="1">
        <w:r w:rsidRPr="00B6071F">
          <w:rPr>
            <w:rStyle w:val="Hyperlink"/>
            <w:sz w:val="16"/>
            <w:szCs w:val="16"/>
          </w:rPr>
          <w:t>Boxing and combat sports</w:t>
        </w:r>
      </w:hyperlink>
      <w:r w:rsidRPr="00B6071F">
        <w:rPr>
          <w:sz w:val="16"/>
          <w:szCs w:val="16"/>
        </w:rPr>
        <w:t xml:space="preserve"> &lt;http://www.sport.vic.gov.au/our-work/boxing-and-combat-sports&gt;</w:t>
      </w:r>
    </w:p>
    <w:p w14:paraId="5789ABFF" w14:textId="77777777" w:rsidR="00265574" w:rsidRDefault="00265574" w:rsidP="00265574">
      <w:pPr>
        <w:pStyle w:val="DHHSnumberdigitindent"/>
        <w:numPr>
          <w:ilvl w:val="1"/>
          <w:numId w:val="17"/>
        </w:numPr>
        <w:sectPr w:rsidR="00265574" w:rsidSect="00A93902">
          <w:headerReference w:type="default" r:id="rId18"/>
          <w:footerReference w:type="default" r:id="rId19"/>
          <w:type w:val="continuous"/>
          <w:pgSz w:w="11906" w:h="16838" w:code="9"/>
          <w:pgMar w:top="568" w:right="851" w:bottom="709" w:left="851" w:header="567" w:footer="289" w:gutter="0"/>
          <w:cols w:space="340"/>
          <w:titlePg/>
          <w:docGrid w:linePitch="360"/>
        </w:sectPr>
      </w:pPr>
    </w:p>
    <w:p w14:paraId="5789AC00" w14:textId="77777777" w:rsidR="00E140F9" w:rsidRDefault="00E140F9" w:rsidP="00265574">
      <w:pPr>
        <w:pStyle w:val="DHHSmainsubheading"/>
        <w:spacing w:after="120"/>
      </w:pPr>
      <w:r>
        <w:t>Return To Fight Str</w:t>
      </w:r>
      <w:r w:rsidR="009321B5">
        <w:t>ategy for Concussed Contestants</w:t>
      </w:r>
    </w:p>
    <w:tbl>
      <w:tblPr>
        <w:tblStyle w:val="TableGrid"/>
        <w:tblW w:w="14459" w:type="dxa"/>
        <w:tblInd w:w="-34" w:type="dxa"/>
        <w:tblLook w:val="04A0" w:firstRow="1" w:lastRow="0" w:firstColumn="1" w:lastColumn="0" w:noHBand="0" w:noVBand="1"/>
      </w:tblPr>
      <w:tblGrid>
        <w:gridCol w:w="1135"/>
        <w:gridCol w:w="3543"/>
        <w:gridCol w:w="9781"/>
      </w:tblGrid>
      <w:tr w:rsidR="00265574" w:rsidRPr="00265574" w14:paraId="5789AC03" w14:textId="77777777" w:rsidTr="000A1826">
        <w:trPr>
          <w:trHeight w:val="424"/>
        </w:trPr>
        <w:tc>
          <w:tcPr>
            <w:tcW w:w="1135" w:type="dxa"/>
          </w:tcPr>
          <w:p w14:paraId="5789AC01" w14:textId="77777777" w:rsidR="00265574" w:rsidRPr="00265574" w:rsidRDefault="00265574" w:rsidP="000A1826">
            <w:pPr>
              <w:keepNext/>
              <w:spacing w:before="120" w:after="120"/>
              <w:rPr>
                <w:rFonts w:ascii="Arial" w:hAnsi="Arial" w:cs="Arial"/>
                <w:b/>
              </w:rPr>
            </w:pPr>
            <w:r w:rsidRPr="00265574">
              <w:rPr>
                <w:rFonts w:ascii="Arial" w:hAnsi="Arial" w:cs="Arial"/>
                <w:b/>
              </w:rPr>
              <w:t>Stage</w:t>
            </w:r>
          </w:p>
        </w:tc>
        <w:tc>
          <w:tcPr>
            <w:tcW w:w="13324" w:type="dxa"/>
            <w:gridSpan w:val="2"/>
          </w:tcPr>
          <w:p w14:paraId="5789AC02" w14:textId="77777777" w:rsidR="00265574" w:rsidRPr="00265574" w:rsidRDefault="00265574" w:rsidP="000A1826">
            <w:pPr>
              <w:keepNext/>
              <w:spacing w:before="120" w:after="120"/>
              <w:rPr>
                <w:rFonts w:ascii="Arial" w:hAnsi="Arial" w:cs="Arial"/>
                <w:b/>
              </w:rPr>
            </w:pPr>
            <w:r w:rsidRPr="00265574">
              <w:rPr>
                <w:rFonts w:ascii="Arial" w:hAnsi="Arial" w:cs="Arial"/>
                <w:b/>
              </w:rPr>
              <w:t>Activity</w:t>
            </w:r>
          </w:p>
        </w:tc>
      </w:tr>
      <w:tr w:rsidR="00265574" w:rsidRPr="00265574" w14:paraId="5789AC06" w14:textId="77777777" w:rsidTr="000A1826">
        <w:trPr>
          <w:trHeight w:val="1137"/>
        </w:trPr>
        <w:tc>
          <w:tcPr>
            <w:tcW w:w="14459" w:type="dxa"/>
            <w:gridSpan w:val="3"/>
          </w:tcPr>
          <w:p w14:paraId="5789AC04" w14:textId="77777777" w:rsidR="00265574" w:rsidRPr="00265574" w:rsidRDefault="00265574" w:rsidP="000A1826">
            <w:pPr>
              <w:spacing w:before="120" w:after="120"/>
              <w:rPr>
                <w:rFonts w:ascii="Arial" w:hAnsi="Arial" w:cs="Arial"/>
              </w:rPr>
            </w:pPr>
            <w:r w:rsidRPr="00265574">
              <w:rPr>
                <w:rFonts w:ascii="Arial" w:hAnsi="Arial" w:cs="Arial"/>
              </w:rPr>
              <w:t xml:space="preserve">An initial period of </w:t>
            </w:r>
            <w:r w:rsidRPr="00265574">
              <w:rPr>
                <w:rFonts w:ascii="Arial" w:hAnsi="Arial" w:cs="Arial"/>
                <w:b/>
              </w:rPr>
              <w:t>24/48 hours</w:t>
            </w:r>
            <w:r w:rsidRPr="00265574">
              <w:rPr>
                <w:rFonts w:ascii="Arial" w:hAnsi="Arial" w:cs="Arial"/>
              </w:rPr>
              <w:t xml:space="preserve"> of both relative </w:t>
            </w:r>
            <w:r w:rsidRPr="00265574">
              <w:rPr>
                <w:rFonts w:ascii="Arial" w:hAnsi="Arial" w:cs="Arial"/>
                <w:b/>
              </w:rPr>
              <w:t>physical and cognitive rest</w:t>
            </w:r>
            <w:r w:rsidRPr="00265574">
              <w:rPr>
                <w:rFonts w:ascii="Arial" w:hAnsi="Arial" w:cs="Arial"/>
              </w:rPr>
              <w:t xml:space="preserve"> is recommended before beginning Phase 1 of this graduated strategy.  </w:t>
            </w:r>
          </w:p>
          <w:p w14:paraId="5789AC05" w14:textId="77777777" w:rsidR="00265574" w:rsidRPr="00265574" w:rsidRDefault="00265574" w:rsidP="000A1826">
            <w:pPr>
              <w:spacing w:after="120"/>
              <w:rPr>
                <w:rFonts w:ascii="Arial" w:hAnsi="Arial" w:cs="Arial"/>
              </w:rPr>
            </w:pPr>
            <w:r w:rsidRPr="00265574">
              <w:rPr>
                <w:rFonts w:ascii="Arial" w:hAnsi="Arial" w:cs="Arial"/>
              </w:rPr>
              <w:t xml:space="preserve">There should be at least </w:t>
            </w:r>
            <w:r w:rsidRPr="00265574">
              <w:rPr>
                <w:rFonts w:ascii="Arial" w:hAnsi="Arial" w:cs="Arial"/>
                <w:b/>
              </w:rPr>
              <w:t>48 hours (or longer) for each step of the progression</w:t>
            </w:r>
            <w:r w:rsidRPr="00265574">
              <w:rPr>
                <w:rFonts w:ascii="Arial" w:hAnsi="Arial" w:cs="Arial"/>
              </w:rPr>
              <w:t xml:space="preserve">.  If any symptoms worsen during exercise, contestants should go back to the previous step.  </w:t>
            </w:r>
          </w:p>
        </w:tc>
      </w:tr>
      <w:tr w:rsidR="00265574" w:rsidRPr="00265574" w14:paraId="5789AC0A" w14:textId="77777777" w:rsidTr="000A1826">
        <w:trPr>
          <w:trHeight w:val="612"/>
        </w:trPr>
        <w:tc>
          <w:tcPr>
            <w:tcW w:w="1135" w:type="dxa"/>
          </w:tcPr>
          <w:p w14:paraId="5789AC07" w14:textId="77777777" w:rsidR="00265574" w:rsidRPr="00265574" w:rsidRDefault="00265574" w:rsidP="000A1826">
            <w:pPr>
              <w:rPr>
                <w:rFonts w:ascii="Arial" w:hAnsi="Arial" w:cs="Arial"/>
              </w:rPr>
            </w:pPr>
            <w:r w:rsidRPr="00265574">
              <w:rPr>
                <w:rFonts w:ascii="Arial" w:hAnsi="Arial" w:cs="Arial"/>
              </w:rPr>
              <w:t>1</w:t>
            </w:r>
          </w:p>
        </w:tc>
        <w:tc>
          <w:tcPr>
            <w:tcW w:w="3543" w:type="dxa"/>
          </w:tcPr>
          <w:p w14:paraId="5789AC08" w14:textId="77777777" w:rsidR="00265574" w:rsidRPr="00265574" w:rsidRDefault="00265574" w:rsidP="000A1826">
            <w:pPr>
              <w:rPr>
                <w:rFonts w:ascii="Arial" w:hAnsi="Arial" w:cs="Arial"/>
              </w:rPr>
            </w:pPr>
            <w:r w:rsidRPr="00265574">
              <w:rPr>
                <w:rFonts w:ascii="Arial" w:hAnsi="Arial" w:cs="Arial"/>
              </w:rPr>
              <w:t>Return to symptom limited activity</w:t>
            </w:r>
          </w:p>
        </w:tc>
        <w:tc>
          <w:tcPr>
            <w:tcW w:w="9781" w:type="dxa"/>
          </w:tcPr>
          <w:p w14:paraId="5789AC09" w14:textId="77777777" w:rsidR="00265574" w:rsidRPr="00265574" w:rsidRDefault="00265574" w:rsidP="000A1826">
            <w:pPr>
              <w:rPr>
                <w:rFonts w:ascii="Arial" w:hAnsi="Arial" w:cs="Arial"/>
              </w:rPr>
            </w:pPr>
            <w:r w:rsidRPr="00265574">
              <w:rPr>
                <w:rFonts w:ascii="Arial" w:hAnsi="Arial" w:cs="Arial"/>
              </w:rPr>
              <w:t>Daily activities that do not provoke symptoms</w:t>
            </w:r>
          </w:p>
        </w:tc>
      </w:tr>
      <w:tr w:rsidR="00265574" w:rsidRPr="00265574" w14:paraId="5789AC0C" w14:textId="77777777" w:rsidTr="000A1826">
        <w:trPr>
          <w:trHeight w:val="341"/>
        </w:trPr>
        <w:tc>
          <w:tcPr>
            <w:tcW w:w="14459" w:type="dxa"/>
            <w:gridSpan w:val="3"/>
          </w:tcPr>
          <w:p w14:paraId="5789AC0B" w14:textId="77777777" w:rsidR="00265574" w:rsidRPr="00265574" w:rsidRDefault="00265574" w:rsidP="000A1826">
            <w:pPr>
              <w:spacing w:before="120" w:after="120"/>
              <w:rPr>
                <w:rFonts w:ascii="Arial" w:hAnsi="Arial" w:cs="Arial"/>
                <w:b/>
              </w:rPr>
            </w:pPr>
            <w:r w:rsidRPr="00265574">
              <w:rPr>
                <w:rFonts w:ascii="Arial" w:hAnsi="Arial" w:cs="Arial"/>
                <w:b/>
              </w:rPr>
              <w:t xml:space="preserve">Stage 2: Return to general fitness </w:t>
            </w:r>
            <w:r w:rsidRPr="00265574">
              <w:rPr>
                <w:rFonts w:ascii="Arial" w:hAnsi="Arial" w:cs="Arial"/>
              </w:rPr>
              <w:t>– may only advance to this stage once concussion symptoms have resolved.  It is recommended that Stage 2 not be commenced for at least one week.</w:t>
            </w:r>
          </w:p>
        </w:tc>
      </w:tr>
      <w:tr w:rsidR="00265574" w:rsidRPr="00265574" w14:paraId="5789AC10" w14:textId="77777777" w:rsidTr="000A1826">
        <w:trPr>
          <w:trHeight w:val="818"/>
        </w:trPr>
        <w:tc>
          <w:tcPr>
            <w:tcW w:w="1135" w:type="dxa"/>
          </w:tcPr>
          <w:p w14:paraId="5789AC0D" w14:textId="77777777" w:rsidR="00265574" w:rsidRPr="00265574" w:rsidRDefault="00265574" w:rsidP="000A1826">
            <w:pPr>
              <w:rPr>
                <w:rFonts w:ascii="Arial" w:hAnsi="Arial" w:cs="Arial"/>
              </w:rPr>
            </w:pPr>
            <w:r w:rsidRPr="00265574">
              <w:rPr>
                <w:rFonts w:ascii="Arial" w:hAnsi="Arial" w:cs="Arial"/>
              </w:rPr>
              <w:t>2.1</w:t>
            </w:r>
          </w:p>
        </w:tc>
        <w:tc>
          <w:tcPr>
            <w:tcW w:w="3543" w:type="dxa"/>
          </w:tcPr>
          <w:p w14:paraId="5789AC0E" w14:textId="77777777" w:rsidR="00265574" w:rsidRPr="00265574" w:rsidRDefault="00265574" w:rsidP="000A1826">
            <w:pPr>
              <w:rPr>
                <w:rFonts w:ascii="Arial" w:hAnsi="Arial" w:cs="Arial"/>
              </w:rPr>
            </w:pPr>
            <w:r w:rsidRPr="00265574">
              <w:rPr>
                <w:rFonts w:ascii="Arial" w:hAnsi="Arial" w:cs="Arial"/>
              </w:rPr>
              <w:t>Light aerobic activity</w:t>
            </w:r>
          </w:p>
        </w:tc>
        <w:tc>
          <w:tcPr>
            <w:tcW w:w="9781" w:type="dxa"/>
          </w:tcPr>
          <w:p w14:paraId="5789AC0F" w14:textId="77777777" w:rsidR="00265574" w:rsidRPr="00265574" w:rsidRDefault="00265574" w:rsidP="000A1826">
            <w:pPr>
              <w:rPr>
                <w:rFonts w:ascii="Arial" w:hAnsi="Arial" w:cs="Arial"/>
              </w:rPr>
            </w:pPr>
            <w:r w:rsidRPr="00265574">
              <w:rPr>
                <w:rFonts w:ascii="Arial" w:hAnsi="Arial" w:cs="Arial"/>
              </w:rPr>
              <w:t>Walking, elliptical, stationary cycling at slow to medium pace. No resistance training</w:t>
            </w:r>
          </w:p>
        </w:tc>
      </w:tr>
      <w:tr w:rsidR="00265574" w:rsidRPr="00265574" w14:paraId="5789AC14" w14:textId="77777777" w:rsidTr="000A1826">
        <w:trPr>
          <w:trHeight w:val="814"/>
        </w:trPr>
        <w:tc>
          <w:tcPr>
            <w:tcW w:w="1135" w:type="dxa"/>
          </w:tcPr>
          <w:p w14:paraId="5789AC11" w14:textId="77777777" w:rsidR="00265574" w:rsidRPr="00265574" w:rsidRDefault="00265574" w:rsidP="000A1826">
            <w:pPr>
              <w:rPr>
                <w:rFonts w:ascii="Arial" w:hAnsi="Arial" w:cs="Arial"/>
              </w:rPr>
            </w:pPr>
            <w:r w:rsidRPr="00265574">
              <w:rPr>
                <w:rFonts w:ascii="Arial" w:hAnsi="Arial" w:cs="Arial"/>
              </w:rPr>
              <w:t>2.2</w:t>
            </w:r>
          </w:p>
        </w:tc>
        <w:tc>
          <w:tcPr>
            <w:tcW w:w="3543" w:type="dxa"/>
          </w:tcPr>
          <w:p w14:paraId="5789AC12" w14:textId="77777777" w:rsidR="00265574" w:rsidRPr="00265574" w:rsidRDefault="00265574" w:rsidP="000A1826">
            <w:pPr>
              <w:rPr>
                <w:rFonts w:ascii="Arial" w:hAnsi="Arial" w:cs="Arial"/>
              </w:rPr>
            </w:pPr>
            <w:r w:rsidRPr="00265574">
              <w:rPr>
                <w:rFonts w:ascii="Arial" w:hAnsi="Arial" w:cs="Arial"/>
              </w:rPr>
              <w:t>Moderate aerobic activity</w:t>
            </w:r>
          </w:p>
        </w:tc>
        <w:tc>
          <w:tcPr>
            <w:tcW w:w="9781" w:type="dxa"/>
          </w:tcPr>
          <w:p w14:paraId="5789AC13" w14:textId="77777777" w:rsidR="00265574" w:rsidRPr="00265574" w:rsidRDefault="00265574" w:rsidP="000A1826">
            <w:pPr>
              <w:rPr>
                <w:rFonts w:ascii="Arial" w:hAnsi="Arial" w:cs="Arial"/>
              </w:rPr>
            </w:pPr>
            <w:r w:rsidRPr="00265574">
              <w:rPr>
                <w:rFonts w:ascii="Arial" w:hAnsi="Arial" w:cs="Arial"/>
              </w:rPr>
              <w:t>Jogging, swimming, skipping, other aerobic activities.  No head impact activities</w:t>
            </w:r>
          </w:p>
        </w:tc>
      </w:tr>
      <w:tr w:rsidR="00265574" w:rsidRPr="00265574" w14:paraId="5789AC18" w14:textId="77777777" w:rsidTr="000A1826">
        <w:trPr>
          <w:trHeight w:val="839"/>
        </w:trPr>
        <w:tc>
          <w:tcPr>
            <w:tcW w:w="1135" w:type="dxa"/>
          </w:tcPr>
          <w:p w14:paraId="5789AC15" w14:textId="77777777" w:rsidR="00265574" w:rsidRPr="00265574" w:rsidRDefault="00265574" w:rsidP="000A1826">
            <w:pPr>
              <w:rPr>
                <w:rFonts w:ascii="Arial" w:hAnsi="Arial" w:cs="Arial"/>
              </w:rPr>
            </w:pPr>
            <w:r w:rsidRPr="00265574">
              <w:rPr>
                <w:rFonts w:ascii="Arial" w:hAnsi="Arial" w:cs="Arial"/>
              </w:rPr>
              <w:t>2.3</w:t>
            </w:r>
          </w:p>
        </w:tc>
        <w:tc>
          <w:tcPr>
            <w:tcW w:w="3543" w:type="dxa"/>
          </w:tcPr>
          <w:p w14:paraId="5789AC16" w14:textId="77777777" w:rsidR="00265574" w:rsidRPr="00265574" w:rsidRDefault="00265574" w:rsidP="000A1826">
            <w:pPr>
              <w:rPr>
                <w:rFonts w:ascii="Arial" w:hAnsi="Arial" w:cs="Arial"/>
              </w:rPr>
            </w:pPr>
            <w:r w:rsidRPr="00265574">
              <w:rPr>
                <w:rFonts w:ascii="Arial" w:hAnsi="Arial" w:cs="Arial"/>
              </w:rPr>
              <w:t>Sport-specific activity</w:t>
            </w:r>
          </w:p>
        </w:tc>
        <w:tc>
          <w:tcPr>
            <w:tcW w:w="9781" w:type="dxa"/>
          </w:tcPr>
          <w:p w14:paraId="5789AC17" w14:textId="77777777" w:rsidR="00265574" w:rsidRPr="00265574" w:rsidRDefault="00265574" w:rsidP="000A1826">
            <w:pPr>
              <w:rPr>
                <w:rFonts w:ascii="Arial" w:hAnsi="Arial" w:cs="Arial"/>
              </w:rPr>
            </w:pPr>
            <w:r w:rsidRPr="00265574">
              <w:rPr>
                <w:rFonts w:ascii="Arial" w:hAnsi="Arial" w:cs="Arial"/>
              </w:rPr>
              <w:t xml:space="preserve">Sprinting, mitts, bag/footwork, walk-through grappling.  No partner work. May start progressive resistance training.  </w:t>
            </w:r>
          </w:p>
        </w:tc>
      </w:tr>
      <w:tr w:rsidR="00265574" w:rsidRPr="00265574" w14:paraId="5789AC1A" w14:textId="77777777" w:rsidTr="000A1826">
        <w:trPr>
          <w:trHeight w:val="430"/>
        </w:trPr>
        <w:tc>
          <w:tcPr>
            <w:tcW w:w="14459" w:type="dxa"/>
            <w:gridSpan w:val="3"/>
          </w:tcPr>
          <w:p w14:paraId="5789AC19" w14:textId="77777777" w:rsidR="00265574" w:rsidRPr="00265574" w:rsidRDefault="00265574" w:rsidP="000A1826">
            <w:pPr>
              <w:spacing w:before="120" w:after="120"/>
              <w:rPr>
                <w:rFonts w:ascii="Arial" w:hAnsi="Arial" w:cs="Arial"/>
                <w:b/>
              </w:rPr>
            </w:pPr>
            <w:r w:rsidRPr="00265574">
              <w:rPr>
                <w:rFonts w:ascii="Arial" w:hAnsi="Arial" w:cs="Arial"/>
                <w:b/>
              </w:rPr>
              <w:t>Stage 3: Return to non-contact fighting activities</w:t>
            </w:r>
          </w:p>
        </w:tc>
      </w:tr>
      <w:tr w:rsidR="00265574" w:rsidRPr="00265574" w14:paraId="5789AC1E" w14:textId="77777777" w:rsidTr="000A1826">
        <w:trPr>
          <w:trHeight w:val="762"/>
        </w:trPr>
        <w:tc>
          <w:tcPr>
            <w:tcW w:w="1135" w:type="dxa"/>
          </w:tcPr>
          <w:p w14:paraId="5789AC1B" w14:textId="77777777" w:rsidR="00265574" w:rsidRPr="00265574" w:rsidRDefault="00265574" w:rsidP="000A1826">
            <w:pPr>
              <w:rPr>
                <w:rFonts w:ascii="Arial" w:hAnsi="Arial" w:cs="Arial"/>
              </w:rPr>
            </w:pPr>
            <w:r w:rsidRPr="00265574">
              <w:rPr>
                <w:rFonts w:ascii="Arial" w:hAnsi="Arial" w:cs="Arial"/>
              </w:rPr>
              <w:t>3.1</w:t>
            </w:r>
          </w:p>
        </w:tc>
        <w:tc>
          <w:tcPr>
            <w:tcW w:w="3543" w:type="dxa"/>
          </w:tcPr>
          <w:p w14:paraId="5789AC1C" w14:textId="77777777" w:rsidR="00265574" w:rsidRPr="00265574" w:rsidRDefault="00265574" w:rsidP="000A1826">
            <w:pPr>
              <w:rPr>
                <w:rFonts w:ascii="Arial" w:hAnsi="Arial" w:cs="Arial"/>
              </w:rPr>
            </w:pPr>
            <w:r w:rsidRPr="00265574">
              <w:rPr>
                <w:rFonts w:ascii="Arial" w:hAnsi="Arial" w:cs="Arial"/>
              </w:rPr>
              <w:t xml:space="preserve">Bag/mitt work with movement </w:t>
            </w:r>
          </w:p>
        </w:tc>
        <w:tc>
          <w:tcPr>
            <w:tcW w:w="9781" w:type="dxa"/>
          </w:tcPr>
          <w:p w14:paraId="5789AC1D" w14:textId="77777777" w:rsidR="00265574" w:rsidRPr="00265574" w:rsidRDefault="00265574" w:rsidP="000A1826">
            <w:pPr>
              <w:rPr>
                <w:rFonts w:ascii="Arial" w:hAnsi="Arial" w:cs="Arial"/>
              </w:rPr>
            </w:pPr>
            <w:r w:rsidRPr="00265574">
              <w:rPr>
                <w:rFonts w:ascii="Arial" w:hAnsi="Arial" w:cs="Arial"/>
              </w:rPr>
              <w:t>Tests fighter ability to punch and/or kick in multiple planes.</w:t>
            </w:r>
          </w:p>
        </w:tc>
      </w:tr>
      <w:tr w:rsidR="00265574" w:rsidRPr="00265574" w14:paraId="5789AC22" w14:textId="77777777" w:rsidTr="000A1826">
        <w:trPr>
          <w:trHeight w:val="762"/>
        </w:trPr>
        <w:tc>
          <w:tcPr>
            <w:tcW w:w="1135" w:type="dxa"/>
          </w:tcPr>
          <w:p w14:paraId="5789AC1F" w14:textId="77777777" w:rsidR="00265574" w:rsidRPr="00265574" w:rsidRDefault="00265574" w:rsidP="000A1826">
            <w:pPr>
              <w:rPr>
                <w:rFonts w:ascii="Arial" w:hAnsi="Arial" w:cs="Arial"/>
              </w:rPr>
            </w:pPr>
            <w:r w:rsidRPr="00265574">
              <w:rPr>
                <w:rFonts w:ascii="Arial" w:hAnsi="Arial" w:cs="Arial"/>
              </w:rPr>
              <w:t>3.2</w:t>
            </w:r>
          </w:p>
        </w:tc>
        <w:tc>
          <w:tcPr>
            <w:tcW w:w="3543" w:type="dxa"/>
          </w:tcPr>
          <w:p w14:paraId="5789AC20" w14:textId="77777777" w:rsidR="00265574" w:rsidRPr="00265574" w:rsidRDefault="00265574" w:rsidP="000A1826">
            <w:pPr>
              <w:rPr>
                <w:rFonts w:ascii="Arial" w:hAnsi="Arial" w:cs="Arial"/>
              </w:rPr>
            </w:pPr>
            <w:r w:rsidRPr="00265574">
              <w:rPr>
                <w:rFonts w:ascii="Arial" w:hAnsi="Arial" w:cs="Arial"/>
              </w:rPr>
              <w:t xml:space="preserve">Shadow boxing/drills </w:t>
            </w:r>
          </w:p>
        </w:tc>
        <w:tc>
          <w:tcPr>
            <w:tcW w:w="9781" w:type="dxa"/>
          </w:tcPr>
          <w:p w14:paraId="5789AC21" w14:textId="77777777" w:rsidR="00265574" w:rsidRPr="00265574" w:rsidRDefault="00265574" w:rsidP="000A1826">
            <w:pPr>
              <w:rPr>
                <w:rFonts w:ascii="Arial" w:hAnsi="Arial" w:cs="Arial"/>
              </w:rPr>
            </w:pPr>
            <w:r w:rsidRPr="00265574">
              <w:rPr>
                <w:rFonts w:ascii="Arial" w:hAnsi="Arial" w:cs="Arial"/>
              </w:rPr>
              <w:t>Re-introduces fighter to sport environment and re-establishes footwork.</w:t>
            </w:r>
          </w:p>
        </w:tc>
      </w:tr>
      <w:tr w:rsidR="00265574" w:rsidRPr="00265574" w14:paraId="5789AC26" w14:textId="77777777" w:rsidTr="000A1826">
        <w:trPr>
          <w:trHeight w:val="762"/>
        </w:trPr>
        <w:tc>
          <w:tcPr>
            <w:tcW w:w="1135" w:type="dxa"/>
          </w:tcPr>
          <w:p w14:paraId="5789AC23" w14:textId="77777777" w:rsidR="00265574" w:rsidRPr="00265574" w:rsidRDefault="00265574" w:rsidP="000A1826">
            <w:pPr>
              <w:rPr>
                <w:rFonts w:ascii="Arial" w:hAnsi="Arial" w:cs="Arial"/>
              </w:rPr>
            </w:pPr>
            <w:r w:rsidRPr="00265574">
              <w:rPr>
                <w:rFonts w:ascii="Arial" w:hAnsi="Arial" w:cs="Arial"/>
              </w:rPr>
              <w:t>3.3</w:t>
            </w:r>
          </w:p>
        </w:tc>
        <w:tc>
          <w:tcPr>
            <w:tcW w:w="3543" w:type="dxa"/>
          </w:tcPr>
          <w:p w14:paraId="5789AC24" w14:textId="77777777" w:rsidR="00265574" w:rsidRPr="00265574" w:rsidRDefault="00265574" w:rsidP="000A1826">
            <w:pPr>
              <w:rPr>
                <w:rFonts w:ascii="Arial" w:hAnsi="Arial" w:cs="Arial"/>
              </w:rPr>
            </w:pPr>
            <w:r w:rsidRPr="00265574">
              <w:rPr>
                <w:rFonts w:ascii="Arial" w:hAnsi="Arial" w:cs="Arial"/>
              </w:rPr>
              <w:t>One-sided sparring &amp; grappling.</w:t>
            </w:r>
          </w:p>
        </w:tc>
        <w:tc>
          <w:tcPr>
            <w:tcW w:w="9781" w:type="dxa"/>
          </w:tcPr>
          <w:p w14:paraId="5789AC25" w14:textId="77777777" w:rsidR="00265574" w:rsidRPr="00265574" w:rsidRDefault="00265574" w:rsidP="000A1826">
            <w:pPr>
              <w:rPr>
                <w:rFonts w:ascii="Arial" w:hAnsi="Arial" w:cs="Arial"/>
              </w:rPr>
            </w:pPr>
            <w:r w:rsidRPr="00265574">
              <w:rPr>
                <w:rFonts w:ascii="Arial" w:hAnsi="Arial" w:cs="Arial"/>
              </w:rPr>
              <w:t>Fighter begins to spar without the concern of contact. Reacts to opponents movements and begins to get timing back for punches, kicks and body position</w:t>
            </w:r>
          </w:p>
        </w:tc>
      </w:tr>
    </w:tbl>
    <w:p w14:paraId="5789AC27" w14:textId="77777777" w:rsidR="00E140F9" w:rsidRDefault="00E140F9" w:rsidP="00E140F9">
      <w:pPr>
        <w:pStyle w:val="DHHSbody"/>
        <w:spacing w:before="120"/>
      </w:pPr>
      <w:r>
        <w:t>* Adapted from Nalepa B, Alexander A, Pardini J, et al. Fighting to keep a sport safe: Toward a structured and sport-specific return to play protocol. The Physician and Sports Medicine. February 2017</w:t>
      </w:r>
    </w:p>
    <w:bookmarkEnd w:id="0"/>
    <w:p w14:paraId="5789AC28" w14:textId="77777777" w:rsidR="00E140F9" w:rsidRDefault="00E140F9">
      <w:pPr>
        <w:rPr>
          <w:rFonts w:ascii="Arial" w:eastAsia="Times" w:hAnsi="Arial"/>
        </w:rPr>
      </w:pPr>
    </w:p>
    <w:sectPr w:rsidR="00E140F9" w:rsidSect="00265574">
      <w:pgSz w:w="16838" w:h="11906" w:orient="landscape" w:code="9"/>
      <w:pgMar w:top="851" w:right="567" w:bottom="851" w:left="709" w:header="567" w:footer="289"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F928E" w14:textId="77777777" w:rsidR="004D3B5D" w:rsidRDefault="004D3B5D">
      <w:r>
        <w:separator/>
      </w:r>
    </w:p>
  </w:endnote>
  <w:endnote w:type="continuationSeparator" w:id="0">
    <w:p w14:paraId="7CC4A92F" w14:textId="77777777" w:rsidR="004D3B5D" w:rsidRDefault="004D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9BE0" w14:textId="77777777" w:rsidR="00B80D1B" w:rsidRDefault="00B80D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AC2D" w14:textId="524A4C28" w:rsidR="009D70A4" w:rsidRPr="00F65AA9" w:rsidRDefault="004224EA" w:rsidP="002749A5">
    <w:pPr>
      <w:pStyle w:val="DHHSfooter"/>
      <w:jc w:val="right"/>
    </w:pPr>
    <w:r>
      <w:rPr>
        <w:noProof/>
        <w:lang w:eastAsia="en-AU"/>
      </w:rPr>
      <mc:AlternateContent>
        <mc:Choice Requires="wps">
          <w:drawing>
            <wp:anchor distT="0" distB="0" distL="114300" distR="114300" simplePos="0" relativeHeight="251638784" behindDoc="0" locked="0" layoutInCell="0" allowOverlap="1" wp14:anchorId="07588E00" wp14:editId="795045A9">
              <wp:simplePos x="0" y="0"/>
              <wp:positionH relativeFrom="page">
                <wp:align>center</wp:align>
              </wp:positionH>
              <wp:positionV relativeFrom="page">
                <wp:align>bottom</wp:align>
              </wp:positionV>
              <wp:extent cx="7772400" cy="463550"/>
              <wp:effectExtent l="0" t="0" r="0" b="12700"/>
              <wp:wrapNone/>
              <wp:docPr id="1" name="MSIPCM55d0425b8af54ce66b7f6e76" descr="{&quot;HashCode&quot;:-126468026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A02153" w14:textId="0EC6AF82" w:rsidR="004224EA" w:rsidRPr="00B80D1B" w:rsidRDefault="00B80D1B" w:rsidP="00B80D1B">
                          <w:pPr>
                            <w:jc w:val="center"/>
                            <w:rPr>
                              <w:rFonts w:ascii="Calibri" w:hAnsi="Calibri" w:cs="Calibri"/>
                              <w:color w:val="000000"/>
                              <w:sz w:val="24"/>
                            </w:rPr>
                          </w:pPr>
                          <w:r w:rsidRPr="00B80D1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7588E00" id="_x0000_t202" coordsize="21600,21600" o:spt="202" path="m,l,21600r21600,l21600,xe">
              <v:stroke joinstyle="miter"/>
              <v:path gradientshapeok="t" o:connecttype="rect"/>
            </v:shapetype>
            <v:shape id="MSIPCM55d0425b8af54ce66b7f6e76" o:spid="_x0000_s1027" type="#_x0000_t202" alt="{&quot;HashCode&quot;:-1264680268,&quot;Height&quot;:9999999.0,&quot;Width&quot;:9999999.0,&quot;Placement&quot;:&quot;Footer&quot;,&quot;Index&quot;:&quot;Primary&quot;,&quot;Section&quot;:1,&quot;Top&quot;:0.0,&quot;Left&quot;:0.0}" style="position:absolute;left:0;text-align:left;margin-left:0;margin-top:0;width:612pt;height:36.5pt;z-index:25163878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34A02153" w14:textId="0EC6AF82" w:rsidR="004224EA" w:rsidRPr="00B80D1B" w:rsidRDefault="00B80D1B" w:rsidP="00B80D1B">
                    <w:pPr>
                      <w:jc w:val="center"/>
                      <w:rPr>
                        <w:rFonts w:ascii="Calibri" w:hAnsi="Calibri" w:cs="Calibri"/>
                        <w:color w:val="000000"/>
                        <w:sz w:val="24"/>
                      </w:rPr>
                    </w:pPr>
                    <w:r w:rsidRPr="00B80D1B">
                      <w:rPr>
                        <w:rFonts w:ascii="Calibri" w:hAnsi="Calibri" w:cs="Calibri"/>
                        <w:color w:val="000000"/>
                        <w:sz w:val="24"/>
                      </w:rPr>
                      <w:t>OFFICIAL</w:t>
                    </w:r>
                  </w:p>
                </w:txbxContent>
              </v:textbox>
              <w10:wrap anchorx="page" anchory="page"/>
            </v:shape>
          </w:pict>
        </mc:Fallback>
      </mc:AlternateContent>
    </w:r>
    <w:r w:rsidR="004A6F9F">
      <w:rPr>
        <w:noProof/>
        <w:lang w:eastAsia="en-AU"/>
      </w:rPr>
      <w:drawing>
        <wp:inline distT="0" distB="0" distL="0" distR="0" wp14:anchorId="5789AC31" wp14:editId="5789AC32">
          <wp:extent cx="6479540" cy="488315"/>
          <wp:effectExtent l="0" t="0" r="0" b="6985"/>
          <wp:docPr id="2" name="Picture 2" descr="Professional Boxing and Combat Sports Board of Victoria;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 forms log banner.png"/>
                  <pic:cNvPicPr/>
                </pic:nvPicPr>
                <pic:blipFill>
                  <a:blip r:embed="rId1">
                    <a:extLst>
                      <a:ext uri="{28A0092B-C50C-407E-A947-70E740481C1C}">
                        <a14:useLocalDpi xmlns:a14="http://schemas.microsoft.com/office/drawing/2010/main" val="0"/>
                      </a:ext>
                    </a:extLst>
                  </a:blip>
                  <a:stretch>
                    <a:fillRect/>
                  </a:stretch>
                </pic:blipFill>
                <pic:spPr>
                  <a:xfrm>
                    <a:off x="0" y="0"/>
                    <a:ext cx="6479540" cy="48831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7976" w14:textId="6BB6C18F" w:rsidR="004224EA" w:rsidRDefault="004224EA">
    <w:pPr>
      <w:pStyle w:val="Footer"/>
    </w:pPr>
    <w:r>
      <w:rPr>
        <w:noProof/>
      </w:rPr>
      <mc:AlternateContent>
        <mc:Choice Requires="wps">
          <w:drawing>
            <wp:anchor distT="0" distB="0" distL="114300" distR="114300" simplePos="0" relativeHeight="251657216" behindDoc="0" locked="0" layoutInCell="0" allowOverlap="1" wp14:anchorId="5D2C8322" wp14:editId="121B096A">
              <wp:simplePos x="0" y="0"/>
              <wp:positionH relativeFrom="page">
                <wp:align>center</wp:align>
              </wp:positionH>
              <wp:positionV relativeFrom="page">
                <wp:align>bottom</wp:align>
              </wp:positionV>
              <wp:extent cx="7772400" cy="463550"/>
              <wp:effectExtent l="0" t="0" r="0" b="12700"/>
              <wp:wrapNone/>
              <wp:docPr id="3" name="MSIPCMb4374e13acb2a605340901f1" descr="{&quot;HashCode&quot;:-1264680268,&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01E5AB" w14:textId="7D293B50" w:rsidR="004224EA" w:rsidRPr="00B80D1B" w:rsidRDefault="00B80D1B" w:rsidP="00B80D1B">
                          <w:pPr>
                            <w:jc w:val="center"/>
                            <w:rPr>
                              <w:rFonts w:ascii="Calibri" w:hAnsi="Calibri" w:cs="Calibri"/>
                              <w:color w:val="000000"/>
                              <w:sz w:val="24"/>
                            </w:rPr>
                          </w:pPr>
                          <w:r w:rsidRPr="00B80D1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D2C8322" id="_x0000_t202" coordsize="21600,21600" o:spt="202" path="m,l,21600r21600,l21600,xe">
              <v:stroke joinstyle="miter"/>
              <v:path gradientshapeok="t" o:connecttype="rect"/>
            </v:shapetype>
            <v:shape id="MSIPCMb4374e13acb2a605340901f1" o:spid="_x0000_s1029" type="#_x0000_t202" alt="{&quot;HashCode&quot;:-1264680268,&quot;Height&quot;:9999999.0,&quot;Width&quot;:9999999.0,&quot;Placement&quot;:&quot;Footer&quot;,&quot;Index&quot;:&quot;FirstPage&quot;,&quot;Section&quot;:1,&quot;Top&quot;:0.0,&quot;Left&quot;:0.0}" style="position:absolute;margin-left:0;margin-top:0;width:612pt;height:36.5pt;z-index:25165721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LRExpsZAgAALQQAAA4AAAAAAAAAAAAAAAAALgIAAGRycy9lMm9Eb2MueG1sUEsBAi0AFAAGAAgA&#10;AAAhAL4fCrfaAAAABQEAAA8AAAAAAAAAAAAAAAAAcwQAAGRycy9kb3ducmV2LnhtbFBLBQYAAAAA&#10;BAAEAPMAAAB6BQAAAAA=&#10;" o:allowincell="f" filled="f" stroked="f" strokeweight=".5pt">
              <v:textbox inset=",0,,0">
                <w:txbxContent>
                  <w:p w14:paraId="1901E5AB" w14:textId="7D293B50" w:rsidR="004224EA" w:rsidRPr="00B80D1B" w:rsidRDefault="00B80D1B" w:rsidP="00B80D1B">
                    <w:pPr>
                      <w:jc w:val="center"/>
                      <w:rPr>
                        <w:rFonts w:ascii="Calibri" w:hAnsi="Calibri" w:cs="Calibri"/>
                        <w:color w:val="000000"/>
                        <w:sz w:val="24"/>
                      </w:rPr>
                    </w:pPr>
                    <w:r w:rsidRPr="00B80D1B">
                      <w:rPr>
                        <w:rFonts w:ascii="Calibri" w:hAnsi="Calibri" w:cs="Calibri"/>
                        <w:color w:val="000000"/>
                        <w:sz w:val="24"/>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E3226" w14:textId="0D198DE0" w:rsidR="004224EA" w:rsidRDefault="004224EA" w:rsidP="00265574">
    <w:pPr>
      <w:pStyle w:val="DHHSfooter"/>
    </w:pPr>
    <w:r>
      <w:rPr>
        <w:noProof/>
      </w:rPr>
      <mc:AlternateContent>
        <mc:Choice Requires="wps">
          <w:drawing>
            <wp:anchor distT="0" distB="0" distL="114300" distR="114300" simplePos="0" relativeHeight="251668991" behindDoc="0" locked="0" layoutInCell="0" allowOverlap="1" wp14:anchorId="28647E87" wp14:editId="61540936">
              <wp:simplePos x="0" y="0"/>
              <wp:positionH relativeFrom="page">
                <wp:align>center</wp:align>
              </wp:positionH>
              <wp:positionV relativeFrom="page">
                <wp:align>bottom</wp:align>
              </wp:positionV>
              <wp:extent cx="7772400" cy="463550"/>
              <wp:effectExtent l="0" t="0" r="0" b="12700"/>
              <wp:wrapNone/>
              <wp:docPr id="4" name="MSIPCM9be14b22bca42914d98d23bf" descr="{&quot;HashCode&quot;:-1264680268,&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D2D2AF" w14:textId="5149E120" w:rsidR="004224EA" w:rsidRPr="00B80D1B" w:rsidRDefault="00B80D1B" w:rsidP="00B80D1B">
                          <w:pPr>
                            <w:jc w:val="center"/>
                            <w:rPr>
                              <w:rFonts w:ascii="Calibri" w:hAnsi="Calibri" w:cs="Calibri"/>
                              <w:color w:val="000000"/>
                              <w:sz w:val="24"/>
                            </w:rPr>
                          </w:pPr>
                          <w:r w:rsidRPr="00B80D1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8647E87" id="_x0000_t202" coordsize="21600,21600" o:spt="202" path="m,l,21600r21600,l21600,xe">
              <v:stroke joinstyle="miter"/>
              <v:path gradientshapeok="t" o:connecttype="rect"/>
            </v:shapetype>
            <v:shape id="MSIPCM9be14b22bca42914d98d23bf" o:spid="_x0000_s1031" type="#_x0000_t202" alt="{&quot;HashCode&quot;:-1264680268,&quot;Height&quot;:9999999.0,&quot;Width&quot;:9999999.0,&quot;Placement&quot;:&quot;Footer&quot;,&quot;Index&quot;:&quot;Primary&quot;,&quot;Section&quot;:2,&quot;Top&quot;:0.0,&quot;Left&quot;:0.0}" style="position:absolute;margin-left:0;margin-top:0;width:612pt;height:36.5pt;z-index:25166899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NtzLzUZAgAALQQAAA4AAAAAAAAAAAAAAAAALgIAAGRycy9lMm9Eb2MueG1sUEsBAi0AFAAGAAgA&#10;AAAhAL4fCrfaAAAABQEAAA8AAAAAAAAAAAAAAAAAcwQAAGRycy9kb3ducmV2LnhtbFBLBQYAAAAA&#10;BAAEAPMAAAB6BQAAAAA=&#10;" o:allowincell="f" filled="f" stroked="f" strokeweight=".5pt">
              <v:textbox inset=",0,,0">
                <w:txbxContent>
                  <w:p w14:paraId="32D2D2AF" w14:textId="5149E120" w:rsidR="004224EA" w:rsidRPr="00B80D1B" w:rsidRDefault="00B80D1B" w:rsidP="00B80D1B">
                    <w:pPr>
                      <w:jc w:val="center"/>
                      <w:rPr>
                        <w:rFonts w:ascii="Calibri" w:hAnsi="Calibri" w:cs="Calibri"/>
                        <w:color w:val="000000"/>
                        <w:sz w:val="24"/>
                      </w:rPr>
                    </w:pPr>
                    <w:r w:rsidRPr="00B80D1B">
                      <w:rPr>
                        <w:rFonts w:ascii="Calibri" w:hAnsi="Calibri" w:cs="Calibri"/>
                        <w:color w:val="000000"/>
                        <w:sz w:val="24"/>
                      </w:rPr>
                      <w:t>OFFICIAL</w:t>
                    </w:r>
                  </w:p>
                </w:txbxContent>
              </v:textbox>
              <w10:wrap anchorx="page" anchory="page"/>
            </v:shape>
          </w:pict>
        </mc:Fallback>
      </mc:AlternateContent>
    </w:r>
    <w:r>
      <w:t>Ref: CSID0025</w:t>
    </w:r>
  </w:p>
  <w:p w14:paraId="4D0FF6EF" w14:textId="1E936B94" w:rsidR="004224EA" w:rsidRDefault="004224EA" w:rsidP="00265574">
    <w:pPr>
      <w:pStyle w:val="DHHSfooter"/>
    </w:pPr>
    <w:r>
      <w:t>Scheduled for review 1 July 2023</w:t>
    </w:r>
  </w:p>
  <w:p w14:paraId="5789AC2F" w14:textId="65329515" w:rsidR="009D70A4" w:rsidRPr="00A11421" w:rsidRDefault="00265574" w:rsidP="00265574">
    <w:pPr>
      <w:pStyle w:val="DHHSfooter"/>
    </w:pPr>
    <w:r>
      <w:t>Minimum safety standards for contests conducted by recognised amateur associations</w:t>
    </w:r>
    <w:r w:rsidR="009D70A4" w:rsidRPr="00A11421">
      <w:tab/>
    </w:r>
    <w:r w:rsidR="009D70A4" w:rsidRPr="00A11421">
      <w:fldChar w:fldCharType="begin"/>
    </w:r>
    <w:r w:rsidR="009D70A4" w:rsidRPr="00A11421">
      <w:instrText xml:space="preserve"> PAGE </w:instrText>
    </w:r>
    <w:r w:rsidR="009D70A4" w:rsidRPr="00A11421">
      <w:fldChar w:fldCharType="separate"/>
    </w:r>
    <w:r w:rsidR="00225845">
      <w:rPr>
        <w:noProof/>
      </w:rPr>
      <w:t>2</w:t>
    </w:r>
    <w:r w:rsidR="009D70A4" w:rsidRPr="00A11421">
      <w:fldChar w:fldCharType="end"/>
    </w:r>
  </w:p>
  <w:p w14:paraId="5789AC30" w14:textId="77777777" w:rsidR="000256EE" w:rsidRDefault="000256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5B948" w14:textId="77777777" w:rsidR="004D3B5D" w:rsidRDefault="004D3B5D" w:rsidP="002862F1">
      <w:pPr>
        <w:spacing w:before="120"/>
      </w:pPr>
      <w:r>
        <w:separator/>
      </w:r>
    </w:p>
  </w:footnote>
  <w:footnote w:type="continuationSeparator" w:id="0">
    <w:p w14:paraId="6911FDAA" w14:textId="77777777" w:rsidR="004D3B5D" w:rsidRDefault="004D3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F707" w14:textId="77777777" w:rsidR="00B80D1B" w:rsidRDefault="00B80D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4972" w14:textId="51A911E3" w:rsidR="004224EA" w:rsidRDefault="004224EA">
    <w:pPr>
      <w:pStyle w:val="Header"/>
    </w:pPr>
    <w:r>
      <w:rPr>
        <w:noProof/>
      </w:rPr>
      <mc:AlternateContent>
        <mc:Choice Requires="wps">
          <w:drawing>
            <wp:anchor distT="0" distB="0" distL="114300" distR="114300" simplePos="0" relativeHeight="251675648" behindDoc="0" locked="0" layoutInCell="0" allowOverlap="1" wp14:anchorId="5E1FFF8A" wp14:editId="754FEC63">
              <wp:simplePos x="0" y="0"/>
              <wp:positionH relativeFrom="page">
                <wp:align>center</wp:align>
              </wp:positionH>
              <wp:positionV relativeFrom="page">
                <wp:align>top</wp:align>
              </wp:positionV>
              <wp:extent cx="7772400" cy="463550"/>
              <wp:effectExtent l="0" t="0" r="0" b="12700"/>
              <wp:wrapNone/>
              <wp:docPr id="5" name="MSIPCM77654984a84ecddb12c75073" descr="{&quot;HashCode&quot;:-1288817837,&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1F344A" w14:textId="7CB360B1" w:rsidR="004224EA" w:rsidRPr="00B80D1B" w:rsidRDefault="00B80D1B" w:rsidP="00B80D1B">
                          <w:pPr>
                            <w:jc w:val="center"/>
                            <w:rPr>
                              <w:rFonts w:ascii="Calibri" w:hAnsi="Calibri" w:cs="Calibri"/>
                              <w:color w:val="000000"/>
                              <w:sz w:val="24"/>
                            </w:rPr>
                          </w:pPr>
                          <w:r w:rsidRPr="00B80D1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E1FFF8A" id="_x0000_t202" coordsize="21600,21600" o:spt="202" path="m,l,21600r21600,l21600,xe">
              <v:stroke joinstyle="miter"/>
              <v:path gradientshapeok="t" o:connecttype="rect"/>
            </v:shapetype>
            <v:shape id="MSIPCM77654984a84ecddb12c75073" o:spid="_x0000_s1026" type="#_x0000_t202" alt="{&quot;HashCode&quot;:-1288817837,&quot;Height&quot;:9999999.0,&quot;Width&quot;:9999999.0,&quot;Placement&quot;:&quot;Header&quot;,&quot;Index&quot;:&quot;Primary&quot;,&quot;Section&quot;:1,&quot;Top&quot;:0.0,&quot;Left&quot;:0.0}" style="position:absolute;margin-left:0;margin-top:0;width:612pt;height:36.5pt;z-index:251675648;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291F344A" w14:textId="7CB360B1" w:rsidR="004224EA" w:rsidRPr="00B80D1B" w:rsidRDefault="00B80D1B" w:rsidP="00B80D1B">
                    <w:pPr>
                      <w:jc w:val="center"/>
                      <w:rPr>
                        <w:rFonts w:ascii="Calibri" w:hAnsi="Calibri" w:cs="Calibri"/>
                        <w:color w:val="000000"/>
                        <w:sz w:val="24"/>
                      </w:rPr>
                    </w:pPr>
                    <w:r w:rsidRPr="00B80D1B">
                      <w:rPr>
                        <w:rFonts w:ascii="Calibri" w:hAnsi="Calibri" w:cs="Calibri"/>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9C21" w14:textId="6F1919A0" w:rsidR="004224EA" w:rsidRDefault="004224EA">
    <w:pPr>
      <w:pStyle w:val="Header"/>
    </w:pPr>
    <w:r>
      <w:rPr>
        <w:noProof/>
      </w:rPr>
      <mc:AlternateContent>
        <mc:Choice Requires="wps">
          <w:drawing>
            <wp:anchor distT="0" distB="0" distL="114300" distR="114300" simplePos="0" relativeHeight="251694080" behindDoc="0" locked="0" layoutInCell="0" allowOverlap="1" wp14:anchorId="30F8F9AD" wp14:editId="3C454BFF">
              <wp:simplePos x="0" y="0"/>
              <wp:positionH relativeFrom="page">
                <wp:align>center</wp:align>
              </wp:positionH>
              <wp:positionV relativeFrom="page">
                <wp:align>top</wp:align>
              </wp:positionV>
              <wp:extent cx="7772400" cy="463550"/>
              <wp:effectExtent l="0" t="0" r="0" b="12700"/>
              <wp:wrapNone/>
              <wp:docPr id="6" name="MSIPCM5a4a45dd86aff53ceb4375d0" descr="{&quot;HashCode&quot;:-1288817837,&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A6716D" w14:textId="25E6D03C" w:rsidR="004224EA" w:rsidRPr="00B80D1B" w:rsidRDefault="00B80D1B" w:rsidP="00B80D1B">
                          <w:pPr>
                            <w:jc w:val="center"/>
                            <w:rPr>
                              <w:rFonts w:ascii="Calibri" w:hAnsi="Calibri" w:cs="Calibri"/>
                              <w:color w:val="000000"/>
                              <w:sz w:val="24"/>
                            </w:rPr>
                          </w:pPr>
                          <w:r w:rsidRPr="00B80D1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0F8F9AD" id="_x0000_t202" coordsize="21600,21600" o:spt="202" path="m,l,21600r21600,l21600,xe">
              <v:stroke joinstyle="miter"/>
              <v:path gradientshapeok="t" o:connecttype="rect"/>
            </v:shapetype>
            <v:shape id="MSIPCM5a4a45dd86aff53ceb4375d0" o:spid="_x0000_s1028" type="#_x0000_t202" alt="{&quot;HashCode&quot;:-1288817837,&quot;Height&quot;:9999999.0,&quot;Width&quot;:9999999.0,&quot;Placement&quot;:&quot;Header&quot;,&quot;Index&quot;:&quot;FirstPage&quot;,&quot;Section&quot;:1,&quot;Top&quot;:0.0,&quot;Left&quot;:0.0}" style="position:absolute;margin-left:0;margin-top:0;width:612pt;height:36.5pt;z-index:25169408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o:allowincell="f" filled="f" stroked="f" strokeweight=".5pt">
              <v:textbox inset=",0,,0">
                <w:txbxContent>
                  <w:p w14:paraId="14A6716D" w14:textId="25E6D03C" w:rsidR="004224EA" w:rsidRPr="00B80D1B" w:rsidRDefault="00B80D1B" w:rsidP="00B80D1B">
                    <w:pPr>
                      <w:jc w:val="center"/>
                      <w:rPr>
                        <w:rFonts w:ascii="Calibri" w:hAnsi="Calibri" w:cs="Calibri"/>
                        <w:color w:val="000000"/>
                        <w:sz w:val="24"/>
                      </w:rPr>
                    </w:pPr>
                    <w:r w:rsidRPr="00B80D1B">
                      <w:rPr>
                        <w:rFonts w:ascii="Calibri" w:hAnsi="Calibri" w:cs="Calibri"/>
                        <w:color w:val="000000"/>
                        <w:sz w:val="24"/>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AC2E" w14:textId="340401D4" w:rsidR="000256EE" w:rsidRPr="00265574" w:rsidRDefault="004224EA" w:rsidP="00265574">
    <w:pPr>
      <w:pStyle w:val="Header"/>
    </w:pPr>
    <w:r>
      <w:rPr>
        <w:noProof/>
      </w:rPr>
      <mc:AlternateContent>
        <mc:Choice Requires="wps">
          <w:drawing>
            <wp:anchor distT="0" distB="0" distL="114300" distR="114300" simplePos="0" relativeHeight="251675903" behindDoc="0" locked="0" layoutInCell="0" allowOverlap="1" wp14:anchorId="18C6F6C3" wp14:editId="18A4C3E1">
              <wp:simplePos x="0" y="0"/>
              <wp:positionH relativeFrom="page">
                <wp:align>center</wp:align>
              </wp:positionH>
              <wp:positionV relativeFrom="page">
                <wp:align>top</wp:align>
              </wp:positionV>
              <wp:extent cx="7772400" cy="463550"/>
              <wp:effectExtent l="0" t="0" r="0" b="12700"/>
              <wp:wrapNone/>
              <wp:docPr id="7" name="MSIPCM394e48079a539ce4a2014ec1" descr="{&quot;HashCode&quot;:-1288817837,&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0EF117" w14:textId="212648F8" w:rsidR="004224EA" w:rsidRPr="00B80D1B" w:rsidRDefault="00B80D1B" w:rsidP="00B80D1B">
                          <w:pPr>
                            <w:jc w:val="center"/>
                            <w:rPr>
                              <w:rFonts w:ascii="Calibri" w:hAnsi="Calibri" w:cs="Calibri"/>
                              <w:color w:val="000000"/>
                              <w:sz w:val="24"/>
                            </w:rPr>
                          </w:pPr>
                          <w:r w:rsidRPr="00B80D1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8C6F6C3" id="_x0000_t202" coordsize="21600,21600" o:spt="202" path="m,l,21600r21600,l21600,xe">
              <v:stroke joinstyle="miter"/>
              <v:path gradientshapeok="t" o:connecttype="rect"/>
            </v:shapetype>
            <v:shape id="MSIPCM394e48079a539ce4a2014ec1" o:spid="_x0000_s1030" type="#_x0000_t202" alt="{&quot;HashCode&quot;:-1288817837,&quot;Height&quot;:9999999.0,&quot;Width&quot;:9999999.0,&quot;Placement&quot;:&quot;Header&quot;,&quot;Index&quot;:&quot;Primary&quot;,&quot;Section&quot;:2,&quot;Top&quot;:0.0,&quot;Left&quot;:0.0}" style="position:absolute;margin-left:0;margin-top:0;width:612pt;height:36.5pt;z-index:251675903;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RcGA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0xWmPDVQHWg9hYN47uWxohpXw&#10;4VkgUU1jk3zDEx3aAPWCo8VZDfjrb/6YTwxQlLOOpFNy/3MnUHFmvlvi5st4Oo1aSxcy8K13c/La&#10;XXsPpMox/SBOJjPmBnMyNUL7SupexG4UElZSz5LLgKfLfRikTP+HVItFSiNdORFWdu1kLB7xjNi+&#10;9K8C3ZGAQNQ9wkleonjHw5A7MLHYBdBNIikiPOB5BJ40mbg7/j9R9G/vKevyl89/A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VoSUXBgCAAAtBAAADgAAAAAAAAAAAAAAAAAuAgAAZHJzL2Uyb0RvYy54bWxQSwECLQAUAAYACAAA&#10;ACEAvh8Kt9oAAAAFAQAADwAAAAAAAAAAAAAAAAByBAAAZHJzL2Rvd25yZXYueG1sUEsFBgAAAAAE&#10;AAQA8wAAAHkFAAAAAA==&#10;" o:allowincell="f" filled="f" stroked="f" strokeweight=".5pt">
              <v:textbox inset=",0,,0">
                <w:txbxContent>
                  <w:p w14:paraId="400EF117" w14:textId="212648F8" w:rsidR="004224EA" w:rsidRPr="00B80D1B" w:rsidRDefault="00B80D1B" w:rsidP="00B80D1B">
                    <w:pPr>
                      <w:jc w:val="center"/>
                      <w:rPr>
                        <w:rFonts w:ascii="Calibri" w:hAnsi="Calibri" w:cs="Calibri"/>
                        <w:color w:val="000000"/>
                        <w:sz w:val="24"/>
                      </w:rPr>
                    </w:pPr>
                    <w:r w:rsidRPr="00B80D1B">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421"/>
    <w:rsid w:val="000072B6"/>
    <w:rsid w:val="0001021B"/>
    <w:rsid w:val="00011D89"/>
    <w:rsid w:val="00024D89"/>
    <w:rsid w:val="000250B6"/>
    <w:rsid w:val="000256EE"/>
    <w:rsid w:val="000260D7"/>
    <w:rsid w:val="00033D81"/>
    <w:rsid w:val="00041BF0"/>
    <w:rsid w:val="0004536B"/>
    <w:rsid w:val="00045E7F"/>
    <w:rsid w:val="00046B68"/>
    <w:rsid w:val="000527DD"/>
    <w:rsid w:val="000578B2"/>
    <w:rsid w:val="00060959"/>
    <w:rsid w:val="000663CD"/>
    <w:rsid w:val="000733FE"/>
    <w:rsid w:val="00074219"/>
    <w:rsid w:val="00074ED5"/>
    <w:rsid w:val="00084659"/>
    <w:rsid w:val="0009113B"/>
    <w:rsid w:val="00094DA3"/>
    <w:rsid w:val="00096CD1"/>
    <w:rsid w:val="000A012C"/>
    <w:rsid w:val="000A0EB9"/>
    <w:rsid w:val="000A186C"/>
    <w:rsid w:val="000A6666"/>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34114"/>
    <w:rsid w:val="001447B3"/>
    <w:rsid w:val="00152073"/>
    <w:rsid w:val="00161939"/>
    <w:rsid w:val="00161AA0"/>
    <w:rsid w:val="00162093"/>
    <w:rsid w:val="00165279"/>
    <w:rsid w:val="001771DD"/>
    <w:rsid w:val="00177995"/>
    <w:rsid w:val="00177A8C"/>
    <w:rsid w:val="00186B33"/>
    <w:rsid w:val="00192F9D"/>
    <w:rsid w:val="00196EB8"/>
    <w:rsid w:val="00196EFB"/>
    <w:rsid w:val="001979FF"/>
    <w:rsid w:val="00197B17"/>
    <w:rsid w:val="001A3ACE"/>
    <w:rsid w:val="001C1D18"/>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5845"/>
    <w:rsid w:val="0022701F"/>
    <w:rsid w:val="002333F5"/>
    <w:rsid w:val="00233724"/>
    <w:rsid w:val="002432E1"/>
    <w:rsid w:val="00245EA9"/>
    <w:rsid w:val="00246207"/>
    <w:rsid w:val="00246C5E"/>
    <w:rsid w:val="00251343"/>
    <w:rsid w:val="00254F58"/>
    <w:rsid w:val="002620BC"/>
    <w:rsid w:val="00262802"/>
    <w:rsid w:val="00263A90"/>
    <w:rsid w:val="0026408B"/>
    <w:rsid w:val="00265574"/>
    <w:rsid w:val="00267C3E"/>
    <w:rsid w:val="002709BB"/>
    <w:rsid w:val="002749A5"/>
    <w:rsid w:val="002763B3"/>
    <w:rsid w:val="002802E3"/>
    <w:rsid w:val="0028213D"/>
    <w:rsid w:val="00285C67"/>
    <w:rsid w:val="002862F1"/>
    <w:rsid w:val="00291373"/>
    <w:rsid w:val="0029597D"/>
    <w:rsid w:val="002962C3"/>
    <w:rsid w:val="0029752B"/>
    <w:rsid w:val="002A483C"/>
    <w:rsid w:val="002A52F0"/>
    <w:rsid w:val="002B1729"/>
    <w:rsid w:val="002B36C7"/>
    <w:rsid w:val="002B4DD4"/>
    <w:rsid w:val="002B5277"/>
    <w:rsid w:val="002B5375"/>
    <w:rsid w:val="002B77C1"/>
    <w:rsid w:val="002C2728"/>
    <w:rsid w:val="002D5006"/>
    <w:rsid w:val="002E00B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18D4"/>
    <w:rsid w:val="003459BD"/>
    <w:rsid w:val="00350D38"/>
    <w:rsid w:val="00351B36"/>
    <w:rsid w:val="00357B4E"/>
    <w:rsid w:val="003744CF"/>
    <w:rsid w:val="00374717"/>
    <w:rsid w:val="0037676C"/>
    <w:rsid w:val="003829E5"/>
    <w:rsid w:val="003956CC"/>
    <w:rsid w:val="00395C9A"/>
    <w:rsid w:val="003A5B21"/>
    <w:rsid w:val="003A6B67"/>
    <w:rsid w:val="003B15E6"/>
    <w:rsid w:val="003C2045"/>
    <w:rsid w:val="003C43A1"/>
    <w:rsid w:val="003C4FC0"/>
    <w:rsid w:val="003C55F4"/>
    <w:rsid w:val="003C7A3F"/>
    <w:rsid w:val="003D2766"/>
    <w:rsid w:val="003D3E8F"/>
    <w:rsid w:val="003D6475"/>
    <w:rsid w:val="003E3637"/>
    <w:rsid w:val="003F0445"/>
    <w:rsid w:val="003F0CF0"/>
    <w:rsid w:val="003F14B1"/>
    <w:rsid w:val="003F3289"/>
    <w:rsid w:val="00401FCF"/>
    <w:rsid w:val="00406285"/>
    <w:rsid w:val="004148F9"/>
    <w:rsid w:val="0042084E"/>
    <w:rsid w:val="00421EEF"/>
    <w:rsid w:val="004224EA"/>
    <w:rsid w:val="00424D65"/>
    <w:rsid w:val="00442C6C"/>
    <w:rsid w:val="00443CBE"/>
    <w:rsid w:val="00443E8A"/>
    <w:rsid w:val="004441BC"/>
    <w:rsid w:val="004468B4"/>
    <w:rsid w:val="0045230A"/>
    <w:rsid w:val="00457337"/>
    <w:rsid w:val="004577BF"/>
    <w:rsid w:val="0047372D"/>
    <w:rsid w:val="004743DD"/>
    <w:rsid w:val="00474CEA"/>
    <w:rsid w:val="00483968"/>
    <w:rsid w:val="00484F86"/>
    <w:rsid w:val="00490746"/>
    <w:rsid w:val="00490852"/>
    <w:rsid w:val="00492F30"/>
    <w:rsid w:val="004946F4"/>
    <w:rsid w:val="0049487E"/>
    <w:rsid w:val="004A160D"/>
    <w:rsid w:val="004A3E81"/>
    <w:rsid w:val="004A5C62"/>
    <w:rsid w:val="004A6F9F"/>
    <w:rsid w:val="004A707D"/>
    <w:rsid w:val="004C6EEE"/>
    <w:rsid w:val="004C702B"/>
    <w:rsid w:val="004D016B"/>
    <w:rsid w:val="004D1B22"/>
    <w:rsid w:val="004D36F2"/>
    <w:rsid w:val="004D3B5D"/>
    <w:rsid w:val="004E138F"/>
    <w:rsid w:val="004E1D8B"/>
    <w:rsid w:val="004E4649"/>
    <w:rsid w:val="004E5C2B"/>
    <w:rsid w:val="004F00DD"/>
    <w:rsid w:val="004F2133"/>
    <w:rsid w:val="004F25AD"/>
    <w:rsid w:val="004F55F1"/>
    <w:rsid w:val="004F6936"/>
    <w:rsid w:val="00503DC6"/>
    <w:rsid w:val="00504893"/>
    <w:rsid w:val="00505EB9"/>
    <w:rsid w:val="00506F5D"/>
    <w:rsid w:val="005126D0"/>
    <w:rsid w:val="00512FBF"/>
    <w:rsid w:val="0051568D"/>
    <w:rsid w:val="00526C15"/>
    <w:rsid w:val="00536499"/>
    <w:rsid w:val="00540D60"/>
    <w:rsid w:val="00543903"/>
    <w:rsid w:val="00543F11"/>
    <w:rsid w:val="00544BFA"/>
    <w:rsid w:val="00547A95"/>
    <w:rsid w:val="00572031"/>
    <w:rsid w:val="005724C8"/>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3189"/>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3B5"/>
    <w:rsid w:val="00693D14"/>
    <w:rsid w:val="006A18C2"/>
    <w:rsid w:val="006B077C"/>
    <w:rsid w:val="006B6803"/>
    <w:rsid w:val="006C0009"/>
    <w:rsid w:val="006D2A3F"/>
    <w:rsid w:val="006D2FBC"/>
    <w:rsid w:val="006E138B"/>
    <w:rsid w:val="006F1FDC"/>
    <w:rsid w:val="007013EF"/>
    <w:rsid w:val="007173CA"/>
    <w:rsid w:val="007216AA"/>
    <w:rsid w:val="00721AB5"/>
    <w:rsid w:val="00721DEF"/>
    <w:rsid w:val="00724A43"/>
    <w:rsid w:val="00731FE5"/>
    <w:rsid w:val="007346E4"/>
    <w:rsid w:val="00740F22"/>
    <w:rsid w:val="00741F1A"/>
    <w:rsid w:val="007450F8"/>
    <w:rsid w:val="0074696E"/>
    <w:rsid w:val="00750135"/>
    <w:rsid w:val="007509CD"/>
    <w:rsid w:val="00750EC2"/>
    <w:rsid w:val="00751239"/>
    <w:rsid w:val="00752B28"/>
    <w:rsid w:val="00754E36"/>
    <w:rsid w:val="00763139"/>
    <w:rsid w:val="00770F37"/>
    <w:rsid w:val="007711A0"/>
    <w:rsid w:val="00772D5E"/>
    <w:rsid w:val="00776928"/>
    <w:rsid w:val="00785677"/>
    <w:rsid w:val="00786F16"/>
    <w:rsid w:val="0078766D"/>
    <w:rsid w:val="0079402E"/>
    <w:rsid w:val="00796E20"/>
    <w:rsid w:val="00797C32"/>
    <w:rsid w:val="007B0914"/>
    <w:rsid w:val="007B1374"/>
    <w:rsid w:val="007B1692"/>
    <w:rsid w:val="007B589F"/>
    <w:rsid w:val="007B6186"/>
    <w:rsid w:val="007B73BC"/>
    <w:rsid w:val="007C20B9"/>
    <w:rsid w:val="007C7301"/>
    <w:rsid w:val="007C7859"/>
    <w:rsid w:val="007D2BDE"/>
    <w:rsid w:val="007D2FB6"/>
    <w:rsid w:val="007D6E2D"/>
    <w:rsid w:val="007E0DE2"/>
    <w:rsid w:val="007E3B98"/>
    <w:rsid w:val="007F31B6"/>
    <w:rsid w:val="007F546C"/>
    <w:rsid w:val="007F625F"/>
    <w:rsid w:val="007F665E"/>
    <w:rsid w:val="00800412"/>
    <w:rsid w:val="0080587B"/>
    <w:rsid w:val="00805F9C"/>
    <w:rsid w:val="00806468"/>
    <w:rsid w:val="008155F0"/>
    <w:rsid w:val="00816735"/>
    <w:rsid w:val="00820141"/>
    <w:rsid w:val="00820E0C"/>
    <w:rsid w:val="008338A2"/>
    <w:rsid w:val="00841AA9"/>
    <w:rsid w:val="00847C5B"/>
    <w:rsid w:val="00853EE4"/>
    <w:rsid w:val="00855535"/>
    <w:rsid w:val="0086255E"/>
    <w:rsid w:val="008633F0"/>
    <w:rsid w:val="00867D9D"/>
    <w:rsid w:val="00872E0A"/>
    <w:rsid w:val="00875285"/>
    <w:rsid w:val="0088275C"/>
    <w:rsid w:val="00884B62"/>
    <w:rsid w:val="0088529C"/>
    <w:rsid w:val="00887903"/>
    <w:rsid w:val="00887B84"/>
    <w:rsid w:val="0089270A"/>
    <w:rsid w:val="00893AF6"/>
    <w:rsid w:val="00894BC4"/>
    <w:rsid w:val="008A5B32"/>
    <w:rsid w:val="008B2EE4"/>
    <w:rsid w:val="008B4D3D"/>
    <w:rsid w:val="008B4EAA"/>
    <w:rsid w:val="008B57C7"/>
    <w:rsid w:val="008C2F92"/>
    <w:rsid w:val="008D2846"/>
    <w:rsid w:val="008D4236"/>
    <w:rsid w:val="008D462F"/>
    <w:rsid w:val="008D6DCF"/>
    <w:rsid w:val="008E4376"/>
    <w:rsid w:val="008E7A0A"/>
    <w:rsid w:val="00900719"/>
    <w:rsid w:val="009017AC"/>
    <w:rsid w:val="00904A1C"/>
    <w:rsid w:val="00905030"/>
    <w:rsid w:val="00906490"/>
    <w:rsid w:val="00907F2B"/>
    <w:rsid w:val="009111B2"/>
    <w:rsid w:val="009149B6"/>
    <w:rsid w:val="00923597"/>
    <w:rsid w:val="00924AE1"/>
    <w:rsid w:val="009269B1"/>
    <w:rsid w:val="0092724D"/>
    <w:rsid w:val="009321B5"/>
    <w:rsid w:val="00937BD9"/>
    <w:rsid w:val="00950E2C"/>
    <w:rsid w:val="00951D50"/>
    <w:rsid w:val="009525EB"/>
    <w:rsid w:val="00954874"/>
    <w:rsid w:val="00961400"/>
    <w:rsid w:val="00963646"/>
    <w:rsid w:val="009853E1"/>
    <w:rsid w:val="00986E6B"/>
    <w:rsid w:val="00991769"/>
    <w:rsid w:val="00994386"/>
    <w:rsid w:val="0099470F"/>
    <w:rsid w:val="009A13D8"/>
    <w:rsid w:val="009A279E"/>
    <w:rsid w:val="009B0A6F"/>
    <w:rsid w:val="009B0A94"/>
    <w:rsid w:val="009B59E9"/>
    <w:rsid w:val="009B70AA"/>
    <w:rsid w:val="009C7A7E"/>
    <w:rsid w:val="009D02E8"/>
    <w:rsid w:val="009D51D0"/>
    <w:rsid w:val="009D70A4"/>
    <w:rsid w:val="009E08D1"/>
    <w:rsid w:val="009E19CA"/>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45778"/>
    <w:rsid w:val="00A54715"/>
    <w:rsid w:val="00A6061C"/>
    <w:rsid w:val="00A62D44"/>
    <w:rsid w:val="00A632AB"/>
    <w:rsid w:val="00A67263"/>
    <w:rsid w:val="00A7161C"/>
    <w:rsid w:val="00A77609"/>
    <w:rsid w:val="00A77AA3"/>
    <w:rsid w:val="00A854EB"/>
    <w:rsid w:val="00A872E5"/>
    <w:rsid w:val="00A91406"/>
    <w:rsid w:val="00A93902"/>
    <w:rsid w:val="00A96E65"/>
    <w:rsid w:val="00A97C72"/>
    <w:rsid w:val="00AA63D4"/>
    <w:rsid w:val="00AB06E8"/>
    <w:rsid w:val="00AB1CD3"/>
    <w:rsid w:val="00AB352F"/>
    <w:rsid w:val="00AB6495"/>
    <w:rsid w:val="00AC274B"/>
    <w:rsid w:val="00AC4764"/>
    <w:rsid w:val="00AC6D36"/>
    <w:rsid w:val="00AD0CBA"/>
    <w:rsid w:val="00AD26E2"/>
    <w:rsid w:val="00AD5564"/>
    <w:rsid w:val="00AD784C"/>
    <w:rsid w:val="00AE126A"/>
    <w:rsid w:val="00AE3005"/>
    <w:rsid w:val="00AE3BD5"/>
    <w:rsid w:val="00AE59A0"/>
    <w:rsid w:val="00AF0C57"/>
    <w:rsid w:val="00AF26F3"/>
    <w:rsid w:val="00AF5F04"/>
    <w:rsid w:val="00B00672"/>
    <w:rsid w:val="00B01B4D"/>
    <w:rsid w:val="00B04E7D"/>
    <w:rsid w:val="00B06571"/>
    <w:rsid w:val="00B068BA"/>
    <w:rsid w:val="00B13851"/>
    <w:rsid w:val="00B13B1C"/>
    <w:rsid w:val="00B22291"/>
    <w:rsid w:val="00B23F9A"/>
    <w:rsid w:val="00B2417B"/>
    <w:rsid w:val="00B24E6F"/>
    <w:rsid w:val="00B26CB5"/>
    <w:rsid w:val="00B2752E"/>
    <w:rsid w:val="00B307CC"/>
    <w:rsid w:val="00B326B7"/>
    <w:rsid w:val="00B431E8"/>
    <w:rsid w:val="00B44549"/>
    <w:rsid w:val="00B45141"/>
    <w:rsid w:val="00B5273A"/>
    <w:rsid w:val="00B57329"/>
    <w:rsid w:val="00B6071F"/>
    <w:rsid w:val="00B62B50"/>
    <w:rsid w:val="00B635B7"/>
    <w:rsid w:val="00B63AE8"/>
    <w:rsid w:val="00B65950"/>
    <w:rsid w:val="00B66D83"/>
    <w:rsid w:val="00B672C0"/>
    <w:rsid w:val="00B75646"/>
    <w:rsid w:val="00B80D1B"/>
    <w:rsid w:val="00B90729"/>
    <w:rsid w:val="00B907DA"/>
    <w:rsid w:val="00B950BC"/>
    <w:rsid w:val="00B9714C"/>
    <w:rsid w:val="00BA3F8D"/>
    <w:rsid w:val="00BB25D5"/>
    <w:rsid w:val="00BB5274"/>
    <w:rsid w:val="00BB7A10"/>
    <w:rsid w:val="00BC7468"/>
    <w:rsid w:val="00BC7D4F"/>
    <w:rsid w:val="00BC7ED7"/>
    <w:rsid w:val="00BD2850"/>
    <w:rsid w:val="00BE28D2"/>
    <w:rsid w:val="00BE4A64"/>
    <w:rsid w:val="00BF7F58"/>
    <w:rsid w:val="00C01381"/>
    <w:rsid w:val="00C03B9F"/>
    <w:rsid w:val="00C079B8"/>
    <w:rsid w:val="00C07B72"/>
    <w:rsid w:val="00C123EA"/>
    <w:rsid w:val="00C124A6"/>
    <w:rsid w:val="00C12A49"/>
    <w:rsid w:val="00C133EE"/>
    <w:rsid w:val="00C27DE9"/>
    <w:rsid w:val="00C33388"/>
    <w:rsid w:val="00C35484"/>
    <w:rsid w:val="00C4173A"/>
    <w:rsid w:val="00C602FF"/>
    <w:rsid w:val="00C61174"/>
    <w:rsid w:val="00C6148F"/>
    <w:rsid w:val="00C62421"/>
    <w:rsid w:val="00C62F7A"/>
    <w:rsid w:val="00C63B9C"/>
    <w:rsid w:val="00C6682F"/>
    <w:rsid w:val="00C7275E"/>
    <w:rsid w:val="00C74C5D"/>
    <w:rsid w:val="00C863C4"/>
    <w:rsid w:val="00C93C3E"/>
    <w:rsid w:val="00CA12E3"/>
    <w:rsid w:val="00CA3EBA"/>
    <w:rsid w:val="00CA6611"/>
    <w:rsid w:val="00CA6AE6"/>
    <w:rsid w:val="00CA782F"/>
    <w:rsid w:val="00CB3285"/>
    <w:rsid w:val="00CC0C72"/>
    <w:rsid w:val="00CC2BFD"/>
    <w:rsid w:val="00CD3476"/>
    <w:rsid w:val="00CD64DF"/>
    <w:rsid w:val="00CF07CF"/>
    <w:rsid w:val="00CF2F50"/>
    <w:rsid w:val="00CF3E2A"/>
    <w:rsid w:val="00D02919"/>
    <w:rsid w:val="00D04C61"/>
    <w:rsid w:val="00D05B8D"/>
    <w:rsid w:val="00D065A2"/>
    <w:rsid w:val="00D07F00"/>
    <w:rsid w:val="00D17B72"/>
    <w:rsid w:val="00D3185C"/>
    <w:rsid w:val="00D33B95"/>
    <w:rsid w:val="00D33E72"/>
    <w:rsid w:val="00D35BD6"/>
    <w:rsid w:val="00D361B5"/>
    <w:rsid w:val="00D411A2"/>
    <w:rsid w:val="00D4606D"/>
    <w:rsid w:val="00D50B9C"/>
    <w:rsid w:val="00D52D73"/>
    <w:rsid w:val="00D52E58"/>
    <w:rsid w:val="00D714CC"/>
    <w:rsid w:val="00D75EA7"/>
    <w:rsid w:val="00D81F21"/>
    <w:rsid w:val="00D95470"/>
    <w:rsid w:val="00DA0AEC"/>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3A5C"/>
    <w:rsid w:val="00DF68C7"/>
    <w:rsid w:val="00DF731A"/>
    <w:rsid w:val="00E140F9"/>
    <w:rsid w:val="00E170DC"/>
    <w:rsid w:val="00E25164"/>
    <w:rsid w:val="00E26818"/>
    <w:rsid w:val="00E27FFC"/>
    <w:rsid w:val="00E30B15"/>
    <w:rsid w:val="00E40181"/>
    <w:rsid w:val="00E56A01"/>
    <w:rsid w:val="00E629A1"/>
    <w:rsid w:val="00E6794C"/>
    <w:rsid w:val="00E71591"/>
    <w:rsid w:val="00E82C55"/>
    <w:rsid w:val="00E92AC3"/>
    <w:rsid w:val="00EB00E0"/>
    <w:rsid w:val="00EC059F"/>
    <w:rsid w:val="00EC1F24"/>
    <w:rsid w:val="00EC22F6"/>
    <w:rsid w:val="00ED5B9B"/>
    <w:rsid w:val="00ED6BAD"/>
    <w:rsid w:val="00ED7447"/>
    <w:rsid w:val="00EE1488"/>
    <w:rsid w:val="00EE476F"/>
    <w:rsid w:val="00EE4D5D"/>
    <w:rsid w:val="00EE5131"/>
    <w:rsid w:val="00EF109B"/>
    <w:rsid w:val="00EF36AF"/>
    <w:rsid w:val="00F00F9C"/>
    <w:rsid w:val="00F01E5F"/>
    <w:rsid w:val="00F02ABA"/>
    <w:rsid w:val="00F0437A"/>
    <w:rsid w:val="00F11037"/>
    <w:rsid w:val="00F16F1B"/>
    <w:rsid w:val="00F23942"/>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769"/>
    <w:rsid w:val="00FB4CDA"/>
    <w:rsid w:val="00FC0F81"/>
    <w:rsid w:val="00FC395C"/>
    <w:rsid w:val="00FD07EA"/>
    <w:rsid w:val="00FD3766"/>
    <w:rsid w:val="00FD47C4"/>
    <w:rsid w:val="00FE1586"/>
    <w:rsid w:val="00FE2DCF"/>
    <w:rsid w:val="00FE7576"/>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89AB94"/>
  <w15:docId w15:val="{783B1298-ECD1-41D2-8606-3E084823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7509CD"/>
    <w:rPr>
      <w:rFonts w:ascii="Cambria" w:hAnsi="Cambria"/>
      <w:lang w:eastAsia="en-US"/>
    </w:rPr>
  </w:style>
  <w:style w:type="paragraph" w:styleId="Heading1">
    <w:name w:val="heading 1"/>
    <w:next w:val="DHHSbody"/>
    <w:link w:val="Heading1Char"/>
    <w:uiPriority w:val="1"/>
    <w:qFormat/>
    <w:rsid w:val="00045E7F"/>
    <w:pPr>
      <w:keepNext/>
      <w:keepLines/>
      <w:spacing w:before="80" w:after="40" w:line="440" w:lineRule="atLeast"/>
      <w:outlineLvl w:val="0"/>
    </w:pPr>
    <w:rPr>
      <w:rFonts w:ascii="Arial" w:eastAsia="MS Gothic" w:hAnsi="Arial" w:cs="Arial"/>
      <w:bCs/>
      <w:color w:val="286280"/>
      <w:kern w:val="32"/>
      <w:sz w:val="32"/>
      <w:szCs w:val="40"/>
      <w:lang w:eastAsia="en-US"/>
    </w:rPr>
  </w:style>
  <w:style w:type="paragraph" w:styleId="Heading2">
    <w:name w:val="heading 2"/>
    <w:next w:val="DHHSbody"/>
    <w:link w:val="Heading2Char"/>
    <w:uiPriority w:val="1"/>
    <w:qFormat/>
    <w:rsid w:val="00B6071F"/>
    <w:pPr>
      <w:keepNext/>
      <w:keepLines/>
      <w:spacing w:before="160" w:after="40" w:line="320" w:lineRule="atLeast"/>
      <w:outlineLvl w:val="1"/>
    </w:pPr>
    <w:rPr>
      <w:rFonts w:ascii="Arial" w:hAnsi="Arial"/>
      <w:b/>
      <w:color w:val="53565A"/>
      <w:sz w:val="24"/>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45E7F"/>
    <w:rPr>
      <w:rFonts w:ascii="Arial" w:eastAsia="MS Gothic" w:hAnsi="Arial" w:cs="Arial"/>
      <w:bCs/>
      <w:color w:val="286280"/>
      <w:kern w:val="32"/>
      <w:sz w:val="32"/>
      <w:szCs w:val="40"/>
      <w:lang w:eastAsia="en-US"/>
    </w:rPr>
  </w:style>
  <w:style w:type="character" w:customStyle="1" w:styleId="Heading2Char">
    <w:name w:val="Heading 2 Char"/>
    <w:link w:val="Heading2"/>
    <w:uiPriority w:val="1"/>
    <w:rsid w:val="00B6071F"/>
    <w:rPr>
      <w:rFonts w:ascii="Arial" w:hAnsi="Arial"/>
      <w:b/>
      <w:color w:val="53565A"/>
      <w:sz w:val="24"/>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C03B9F"/>
    <w:pPr>
      <w:spacing w:before="0" w:after="200"/>
      <w:outlineLvl w:val="9"/>
    </w:pPr>
  </w:style>
  <w:style w:type="character" w:customStyle="1" w:styleId="DHHSTOCheadingfactsheetChar">
    <w:name w:val="DHHS TOC heading fact sheet Char"/>
    <w:link w:val="DHHSTOCheadingfactsheet"/>
    <w:uiPriority w:val="4"/>
    <w:rsid w:val="00C03B9F"/>
    <w:rPr>
      <w:rFonts w:ascii="Arial" w:hAnsi="Arial"/>
      <w:b/>
      <w:color w:val="53565A"/>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F23942"/>
    <w:pPr>
      <w:spacing w:before="40" w:after="4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C124A6"/>
    <w:pPr>
      <w:spacing w:line="560" w:lineRule="atLeast"/>
    </w:pPr>
    <w:rPr>
      <w:rFonts w:ascii="Arial" w:hAnsi="Arial"/>
      <w:color w:val="286280"/>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544BFA"/>
    <w:pPr>
      <w:spacing w:after="12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BalloonText">
    <w:name w:val="Balloon Text"/>
    <w:basedOn w:val="Normal"/>
    <w:link w:val="BalloonTextChar"/>
    <w:uiPriority w:val="99"/>
    <w:semiHidden/>
    <w:unhideWhenUsed/>
    <w:rsid w:val="00512FBF"/>
    <w:rPr>
      <w:rFonts w:ascii="Tahoma" w:hAnsi="Tahoma" w:cs="Tahoma"/>
      <w:sz w:val="16"/>
      <w:szCs w:val="16"/>
    </w:rPr>
  </w:style>
  <w:style w:type="character" w:customStyle="1" w:styleId="BalloonTextChar">
    <w:name w:val="Balloon Text Char"/>
    <w:basedOn w:val="DefaultParagraphFont"/>
    <w:link w:val="BalloonText"/>
    <w:uiPriority w:val="99"/>
    <w:semiHidden/>
    <w:rsid w:val="00512FBF"/>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character" w:styleId="CommentReference">
    <w:name w:val="annotation reference"/>
    <w:basedOn w:val="DefaultParagraphFont"/>
    <w:uiPriority w:val="99"/>
    <w:semiHidden/>
    <w:unhideWhenUsed/>
    <w:rsid w:val="00B04E7D"/>
    <w:rPr>
      <w:sz w:val="16"/>
      <w:szCs w:val="16"/>
    </w:rPr>
  </w:style>
  <w:style w:type="paragraph" w:styleId="CommentText">
    <w:name w:val="annotation text"/>
    <w:basedOn w:val="Normal"/>
    <w:link w:val="CommentTextChar"/>
    <w:uiPriority w:val="99"/>
    <w:semiHidden/>
    <w:unhideWhenUsed/>
    <w:rsid w:val="00B04E7D"/>
  </w:style>
  <w:style w:type="paragraph" w:customStyle="1" w:styleId="DHHStablecolhead">
    <w:name w:val="DHHS table col head"/>
    <w:uiPriority w:val="3"/>
    <w:qFormat/>
    <w:rsid w:val="00F23942"/>
    <w:pPr>
      <w:spacing w:before="40" w:after="40"/>
    </w:pPr>
    <w:rPr>
      <w:rFonts w:ascii="Arial" w:hAnsi="Arial"/>
      <w:b/>
      <w:color w:val="286280"/>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265574"/>
    <w:pPr>
      <w:spacing w:before="240"/>
    </w:pPr>
    <w:rPr>
      <w:rFonts w:ascii="Arial" w:hAnsi="Arial"/>
      <w:color w:val="53565A"/>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character" w:customStyle="1" w:styleId="CommentTextChar">
    <w:name w:val="Comment Text Char"/>
    <w:basedOn w:val="DefaultParagraphFont"/>
    <w:link w:val="CommentText"/>
    <w:uiPriority w:val="99"/>
    <w:semiHidden/>
    <w:rsid w:val="00B04E7D"/>
    <w:rPr>
      <w:rFonts w:ascii="Cambria" w:hAnsi="Cambria"/>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B04E7D"/>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544BFA"/>
    <w:pPr>
      <w:spacing w:before="60" w:after="40" w:line="240" w:lineRule="atLeast"/>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CommentSubject">
    <w:name w:val="annotation subject"/>
    <w:basedOn w:val="CommentText"/>
    <w:next w:val="CommentText"/>
    <w:link w:val="CommentSubjectChar"/>
    <w:uiPriority w:val="99"/>
    <w:semiHidden/>
    <w:unhideWhenUsed/>
    <w:rsid w:val="00B04E7D"/>
    <w:rPr>
      <w:b/>
      <w:bCs/>
    </w:rPr>
  </w:style>
  <w:style w:type="character" w:customStyle="1" w:styleId="CommentSubjectChar">
    <w:name w:val="Comment Subject Char"/>
    <w:basedOn w:val="CommentTextChar"/>
    <w:link w:val="CommentSubject"/>
    <w:uiPriority w:val="99"/>
    <w:semiHidden/>
    <w:rsid w:val="00B04E7D"/>
    <w:rPr>
      <w:rFonts w:ascii="Cambria" w:hAnsi="Cambria"/>
      <w:b/>
      <w:bCs/>
      <w:lang w:eastAsia="en-US"/>
    </w:rPr>
  </w:style>
  <w:style w:type="paragraph" w:styleId="Revision">
    <w:name w:val="Revision"/>
    <w:hidden/>
    <w:uiPriority w:val="71"/>
    <w:rsid w:val="00540D60"/>
    <w:rPr>
      <w:rFonts w:ascii="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sport.vic.gov.au/our-work/boxing-and-combat-sports" TargetMode="External"/><Relationship Id="rId2" Type="http://schemas.openxmlformats.org/officeDocument/2006/relationships/customXml" Target="../customXml/item2.xml"/><Relationship Id="rId16" Type="http://schemas.openxmlformats.org/officeDocument/2006/relationships/hyperlink" Target="mailto:combat.sports@sport.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98a0cc5-c2a5-4cf9-8fa4-b0a7e7f68826" xsi:nil="true"/>
    <Relationship_x0020_Manager xmlns="bc440a9b-ab5b-4648-9ddb-74715e1dcde9" xsi:nil="true"/>
    <lcf76f155ced4ddcb4097134ff3c332f xmlns="bc440a9b-ab5b-4648-9ddb-74715e1dcde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5C741BBD140E409B4535B0EA512F7B" ma:contentTypeVersion="18" ma:contentTypeDescription="Create a new document." ma:contentTypeScope="" ma:versionID="a2098370f04ca0ed3c407564a99a74af">
  <xsd:schema xmlns:xsd="http://www.w3.org/2001/XMLSchema" xmlns:xs="http://www.w3.org/2001/XMLSchema" xmlns:p="http://schemas.microsoft.com/office/2006/metadata/properties" xmlns:ns2="bc440a9b-ab5b-4648-9ddb-74715e1dcde9" xmlns:ns3="498a0cc5-c2a5-4cf9-8fa4-b0a7e7f68826" targetNamespace="http://schemas.microsoft.com/office/2006/metadata/properties" ma:root="true" ma:fieldsID="82c4fe9ad16ac8b37b560e918e2241ca" ns2:_="" ns3:_="">
    <xsd:import namespace="bc440a9b-ab5b-4648-9ddb-74715e1dcde9"/>
    <xsd:import namespace="498a0cc5-c2a5-4cf9-8fa4-b0a7e7f68826"/>
    <xsd:element name="properties">
      <xsd:complexType>
        <xsd:sequence>
          <xsd:element name="documentManagement">
            <xsd:complexType>
              <xsd:all>
                <xsd:element ref="ns2:Relationship_x0020_Manager"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40a9b-ab5b-4648-9ddb-74715e1dcde9" elementFormDefault="qualified">
    <xsd:import namespace="http://schemas.microsoft.com/office/2006/documentManagement/types"/>
    <xsd:import namespace="http://schemas.microsoft.com/office/infopath/2007/PartnerControls"/>
    <xsd:element name="Relationship_x0020_Manager" ma:index="4" nillable="true" ma:displayName="Relationship Manager" ma:internalName="Relationship_x0020_Manager" ma:readOnly="fals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8a0cc5-c2a5-4cf9-8fa4-b0a7e7f6882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6684898-77b5-4ff0-8223-b9d1942dc4f4}" ma:internalName="TaxCatchAll" ma:showField="CatchAllData" ma:web="498a0cc5-c2a5-4cf9-8fa4-b0a7e7f688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FCAAB4-55AB-4283-AC76-00ED85F1F02F}">
  <ds:schemaRefs>
    <ds:schemaRef ds:uri="http://schemas.microsoft.com/office/2006/metadata/properties"/>
    <ds:schemaRef ds:uri="http://schemas.microsoft.com/office/infopath/2007/PartnerControls"/>
    <ds:schemaRef ds:uri="498a0cc5-c2a5-4cf9-8fa4-b0a7e7f68826"/>
    <ds:schemaRef ds:uri="bc440a9b-ab5b-4648-9ddb-74715e1dcde9"/>
  </ds:schemaRefs>
</ds:datastoreItem>
</file>

<file path=customXml/itemProps2.xml><?xml version="1.0" encoding="utf-8"?>
<ds:datastoreItem xmlns:ds="http://schemas.openxmlformats.org/officeDocument/2006/customXml" ds:itemID="{AE3812BA-7D1B-44EB-AAEB-83B803BC2876}">
  <ds:schemaRefs>
    <ds:schemaRef ds:uri="http://schemas.microsoft.com/sharepoint/v3/contenttype/forms"/>
  </ds:schemaRefs>
</ds:datastoreItem>
</file>

<file path=customXml/itemProps3.xml><?xml version="1.0" encoding="utf-8"?>
<ds:datastoreItem xmlns:ds="http://schemas.openxmlformats.org/officeDocument/2006/customXml" ds:itemID="{A1195635-D610-47B5-8A86-FF9CC19FE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40a9b-ab5b-4648-9ddb-74715e1dcde9"/>
    <ds:schemaRef ds:uri="498a0cc5-c2a5-4cf9-8fa4-b0a7e7f68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Minimum safety standards for contests conducted by recognised amateur associations</vt:lpstr>
    </vt:vector>
  </TitlesOfParts>
  <Company>Department of Health and Human Services</Company>
  <LinksUpToDate>false</LinksUpToDate>
  <CharactersWithSpaces>10221</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safety standards for contests conducted by recognised amateur associations</dc:title>
  <dc:subject>Minimum safety standards to be incorporated into the contest rules of all recognised amateur associations</dc:subject>
  <dc:creator>Professional Boxing and Combat Sports Board of Victoria</dc:creator>
  <cp:keywords>boxing, combat sports, amateur, associations, contest, recognition, Minister, Victoria</cp:keywords>
  <cp:lastModifiedBy>Dom Jurcec (DJPR)</cp:lastModifiedBy>
  <cp:revision>3</cp:revision>
  <cp:lastPrinted>2018-07-16T00:37:00Z</cp:lastPrinted>
  <dcterms:created xsi:type="dcterms:W3CDTF">2022-07-27T22:36:00Z</dcterms:created>
  <dcterms:modified xsi:type="dcterms:W3CDTF">2022-07-27T22:36:00Z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0x0101000D5C741BBD140E409B4535B0EA512F7B</vt:lpwstr>
  </property>
  <property fmtid="{D5CDD505-2E9C-101B-9397-08002B2CF9AE}" pid="4" name="Replytype">
    <vt:lpwstr/>
  </property>
  <property fmtid="{D5CDD505-2E9C-101B-9397-08002B2CF9AE}" pid="5" name="_docset_NoMedatataSyncRequired">
    <vt:lpwstr>False</vt:lpwstr>
  </property>
  <property fmtid="{D5CDD505-2E9C-101B-9397-08002B2CF9AE}" pid="6" name="RequestFrom">
    <vt:lpwstr/>
  </property>
  <property fmtid="{D5CDD505-2E9C-101B-9397-08002B2CF9AE}" pid="7" name="QuestionraisedbyPNL">
    <vt:lpwstr/>
  </property>
  <property fmtid="{D5CDD505-2E9C-101B-9397-08002B2CF9AE}" pid="8" name="MSIP_Label_d00a4df9-c942-4b09-b23a-6c1023f6de27_Enabled">
    <vt:lpwstr>true</vt:lpwstr>
  </property>
  <property fmtid="{D5CDD505-2E9C-101B-9397-08002B2CF9AE}" pid="9" name="MSIP_Label_d00a4df9-c942-4b09-b23a-6c1023f6de27_SetDate">
    <vt:lpwstr>2022-07-27T22:36:08Z</vt:lpwstr>
  </property>
  <property fmtid="{D5CDD505-2E9C-101B-9397-08002B2CF9AE}" pid="10" name="MSIP_Label_d00a4df9-c942-4b09-b23a-6c1023f6de27_Method">
    <vt:lpwstr>Privileged</vt:lpwstr>
  </property>
  <property fmtid="{D5CDD505-2E9C-101B-9397-08002B2CF9AE}" pid="11" name="MSIP_Label_d00a4df9-c942-4b09-b23a-6c1023f6de27_Name">
    <vt:lpwstr>Official (DJPR)</vt:lpwstr>
  </property>
  <property fmtid="{D5CDD505-2E9C-101B-9397-08002B2CF9AE}" pid="12" name="MSIP_Label_d00a4df9-c942-4b09-b23a-6c1023f6de27_SiteId">
    <vt:lpwstr>722ea0be-3e1c-4b11-ad6f-9401d6856e24</vt:lpwstr>
  </property>
  <property fmtid="{D5CDD505-2E9C-101B-9397-08002B2CF9AE}" pid="13" name="MSIP_Label_d00a4df9-c942-4b09-b23a-6c1023f6de27_ActionId">
    <vt:lpwstr>43108acb-86ba-4a76-92a1-5b219a07cb57</vt:lpwstr>
  </property>
  <property fmtid="{D5CDD505-2E9C-101B-9397-08002B2CF9AE}" pid="14" name="MSIP_Label_d00a4df9-c942-4b09-b23a-6c1023f6de27_ContentBits">
    <vt:lpwstr>3</vt:lpwstr>
  </property>
</Properties>
</file>