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E8AF" w14:textId="77777777" w:rsidR="00820284" w:rsidRPr="00C83E0F" w:rsidRDefault="00D54C4D" w:rsidP="0035603F">
      <w:pPr>
        <w:spacing w:after="12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3E0F">
        <w:rPr>
          <w:rFonts w:asciiTheme="minorHAnsi" w:hAnsiTheme="minorHAnsi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FCAB8A" wp14:editId="3D4D85A1">
            <wp:simplePos x="0" y="0"/>
            <wp:positionH relativeFrom="column">
              <wp:posOffset>4733290</wp:posOffset>
            </wp:positionH>
            <wp:positionV relativeFrom="paragraph">
              <wp:posOffset>-473075</wp:posOffset>
            </wp:positionV>
            <wp:extent cx="1895475" cy="48133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99A">
        <w:rPr>
          <w:rFonts w:asciiTheme="minorHAnsi" w:hAnsiTheme="minorHAnsi" w:cs="Arial"/>
          <w:noProof/>
          <w:color w:val="000000" w:themeColor="text1"/>
          <w:lang w:eastAsia="en-AU"/>
        </w:rPr>
        <w:pict w14:anchorId="620C49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1.5pt;width:522pt;height:0;z-index:251660288;mso-position-horizontal-relative:text;mso-position-vertical-relative:text" o:connectortype="straight" strokecolor="#205867 [1608]" strokeweight="2.5pt">
            <v:shadow color="#868686"/>
          </v:shape>
        </w:pict>
      </w:r>
      <w:r w:rsidR="00C3199A">
        <w:rPr>
          <w:rFonts w:asciiTheme="minorHAnsi" w:hAnsiTheme="minorHAnsi" w:cs="Arial"/>
          <w:noProof/>
          <w:color w:val="000000" w:themeColor="text1"/>
          <w:lang w:eastAsia="en-AU"/>
        </w:rPr>
        <w:pict w14:anchorId="0C736A09">
          <v:shape id="_x0000_s1030" type="#_x0000_t32" style="position:absolute;left:0;text-align:left;margin-left:.75pt;margin-top:-44pt;width:522pt;height:.05pt;z-index:251661312;mso-position-horizontal-relative:text;mso-position-vertical-relative:text" o:connectortype="straight" strokecolor="#205867 [1608]" strokeweight="2.5pt">
            <v:shadow color="#868686"/>
          </v:shape>
        </w:pict>
      </w:r>
      <w:r w:rsidR="00C3199A">
        <w:rPr>
          <w:rFonts w:asciiTheme="minorHAnsi" w:hAnsiTheme="minorHAnsi"/>
          <w:noProof/>
          <w:color w:val="000000" w:themeColor="text1"/>
        </w:rPr>
        <w:pict w14:anchorId="42B79C3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3.3pt;margin-top:-26.65pt;width:378.3pt;height:28.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6C6E239C" w14:textId="77777777" w:rsidR="00D54C4D" w:rsidRPr="00D54C4D" w:rsidRDefault="00B41EF1">
                  <w:pPr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48"/>
                    </w:rPr>
                    <w:t>Refund of fees policy</w:t>
                  </w:r>
                </w:p>
              </w:txbxContent>
            </v:textbox>
          </v:shape>
        </w:pict>
      </w:r>
    </w:p>
    <w:p w14:paraId="58DE471B" w14:textId="77777777" w:rsidR="001D215A" w:rsidRPr="00C83E0F" w:rsidRDefault="001D215A" w:rsidP="001D215A">
      <w:pPr>
        <w:spacing w:after="120"/>
        <w:rPr>
          <w:rFonts w:asciiTheme="minorHAnsi" w:hAnsiTheme="minorHAnsi" w:cs="Arial"/>
          <w:color w:val="000000" w:themeColor="text1"/>
        </w:rPr>
        <w:sectPr w:rsidR="001D215A" w:rsidRPr="00C83E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p w14:paraId="625AC63A" w14:textId="77777777" w:rsidR="00C168E7" w:rsidRPr="00C83E0F" w:rsidRDefault="00C168E7" w:rsidP="00C3701E">
      <w:pPr>
        <w:spacing w:after="0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</w:p>
    <w:p w14:paraId="4F737CBB" w14:textId="77777777" w:rsidR="00116051" w:rsidRPr="00C83E0F" w:rsidRDefault="00116051" w:rsidP="00C3701E">
      <w:pPr>
        <w:spacing w:after="0"/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sectPr w:rsidR="00116051" w:rsidRPr="00C83E0F">
          <w:type w:val="continuous"/>
          <w:pgSz w:w="11906" w:h="16838"/>
          <w:pgMar w:top="284" w:right="720" w:bottom="720" w:left="720" w:header="709" w:footer="709" w:gutter="0"/>
          <w:cols w:num="2" w:space="708"/>
          <w:docGrid w:linePitch="360"/>
        </w:sectPr>
      </w:pPr>
    </w:p>
    <w:p w14:paraId="1C84EDB9" w14:textId="77777777" w:rsidR="00D54C4D" w:rsidRPr="00C83E0F" w:rsidRDefault="00D54C4D" w:rsidP="00D54C4D">
      <w:pPr>
        <w:keepNext/>
        <w:keepLines/>
        <w:tabs>
          <w:tab w:val="center" w:pos="5102"/>
        </w:tabs>
        <w:spacing w:after="0" w:line="276" w:lineRule="auto"/>
        <w:ind w:left="-142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</w:pPr>
      <w:r w:rsidRPr="00C83E0F">
        <w:rPr>
          <w:rFonts w:asciiTheme="minorHAnsi" w:eastAsia="Times New Roman" w:hAnsiTheme="minorHAnsi" w:cs="Times New Roman"/>
          <w:b/>
          <w:color w:val="000000" w:themeColor="text1"/>
          <w:szCs w:val="28"/>
        </w:rPr>
        <w:t xml:space="preserve">Policy Statement </w:t>
      </w:r>
      <w:r w:rsidRPr="00C83E0F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tab/>
      </w:r>
    </w:p>
    <w:p w14:paraId="32A0993D" w14:textId="77777777" w:rsidR="00B41EF1" w:rsidRDefault="00B41EF1" w:rsidP="00B41EF1">
      <w:pPr>
        <w:spacing w:after="240" w:line="270" w:lineRule="atLeast"/>
        <w:ind w:left="-142"/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</w:pPr>
      <w:r w:rsidRPr="00B41EF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The policy outlines how the </w:t>
      </w:r>
      <w:r w:rsidRPr="00C83E0F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Professional Boxing and Combat Sports Board of Victoria (the Board) </w:t>
      </w:r>
      <w:r w:rsidRPr="00B41EF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will </w:t>
      </w:r>
      <w:r w:rsidR="00BE7E77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respond to </w:t>
      </w:r>
      <w:r w:rsidRPr="00B41EF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requests for the</w:t>
      </w:r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</w:t>
      </w:r>
      <w:r w:rsidRPr="00B41EF1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refund of fees payable under the </w:t>
      </w:r>
      <w:r w:rsidRPr="00B41EF1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</w:rPr>
        <w:t>Professional Boxing and Combat Sport</w:t>
      </w:r>
      <w:r w:rsidR="008E7EA0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</w:rPr>
        <w:t>s</w:t>
      </w:r>
      <w:r w:rsidRPr="00B41EF1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</w:rPr>
        <w:t xml:space="preserve"> </w:t>
      </w:r>
      <w:r w:rsidR="00C66183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</w:rPr>
        <w:t>Regulations 2008</w:t>
      </w:r>
      <w:r w:rsidR="00BE7E77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>for registrations, licenses and permits.</w:t>
      </w:r>
    </w:p>
    <w:p w14:paraId="56239A7E" w14:textId="77777777" w:rsidR="00D54C4D" w:rsidRPr="00C83E0F" w:rsidRDefault="00D54C4D" w:rsidP="00D54C4D">
      <w:pPr>
        <w:spacing w:after="40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sectPr w:rsidR="00D54C4D" w:rsidRPr="00C83E0F">
          <w:footerReference w:type="default" r:id="rId18"/>
          <w:type w:val="continuous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</w:p>
    <w:p w14:paraId="2EEAABBE" w14:textId="77777777" w:rsidR="00B41EF1" w:rsidRDefault="008E7EA0" w:rsidP="00B41EF1">
      <w:pPr>
        <w:numPr>
          <w:ilvl w:val="1"/>
          <w:numId w:val="0"/>
        </w:numPr>
        <w:spacing w:before="240" w:after="120" w:line="270" w:lineRule="atLeast"/>
        <w:ind w:left="284" w:hanging="284"/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  <w:t>R</w:t>
      </w:r>
      <w:r w:rsidR="00E050C6"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  <w:t>egistrations and licenses</w:t>
      </w:r>
    </w:p>
    <w:p w14:paraId="7BCB54F0" w14:textId="77777777" w:rsidR="00C66183" w:rsidRPr="00BF0355" w:rsidRDefault="00854C81" w:rsidP="00BF0355">
      <w:pPr>
        <w:spacing w:after="120" w:line="270" w:lineRule="atLeast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Application fees </w:t>
      </w:r>
      <w:r w:rsidR="00E050C6"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for a registration or a licence</w:t>
      </w: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will only be refunded in exceptional circumstances</w:t>
      </w:r>
      <w:r w:rsidR="00E050C6"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.</w:t>
      </w:r>
    </w:p>
    <w:p w14:paraId="42866EE0" w14:textId="77777777" w:rsidR="00E050C6" w:rsidRPr="00BF0355" w:rsidRDefault="00E050C6" w:rsidP="00BF0355">
      <w:pPr>
        <w:spacing w:after="120" w:line="270" w:lineRule="atLeast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Requests to refund a</w:t>
      </w:r>
      <w:r w:rsid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n application fee for a</w:t>
      </w: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registration or licence </w:t>
      </w:r>
      <w:r w:rsid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s</w:t>
      </w: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hould be made in writing to the Board, explaining the reason for the </w:t>
      </w:r>
      <w:r w:rsidR="00854C81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requested </w:t>
      </w: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refund.  </w:t>
      </w:r>
    </w:p>
    <w:p w14:paraId="3A587299" w14:textId="77777777" w:rsidR="00E050C6" w:rsidRPr="00BF0355" w:rsidRDefault="00E050C6" w:rsidP="00BF0355">
      <w:pPr>
        <w:spacing w:after="120" w:line="270" w:lineRule="atLeast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Requests to refund a</w:t>
      </w:r>
      <w:r w:rsid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n application fee for a </w:t>
      </w:r>
      <w:r w:rsidRPr="00BF0355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registration or licence will be considered by the Board on their own merit.</w:t>
      </w:r>
    </w:p>
    <w:p w14:paraId="6E312EA5" w14:textId="77777777" w:rsidR="00E050C6" w:rsidRPr="00E050C6" w:rsidRDefault="008E7EA0" w:rsidP="00BF0355">
      <w:pPr>
        <w:numPr>
          <w:ilvl w:val="1"/>
          <w:numId w:val="0"/>
        </w:numPr>
        <w:spacing w:before="240" w:after="120" w:line="270" w:lineRule="atLeast"/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  <w:t>P</w:t>
      </w:r>
      <w:r w:rsidR="000B2552"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  <w:t>ermit</w:t>
      </w:r>
      <w:r>
        <w:rPr>
          <w:rFonts w:asciiTheme="minorHAnsi" w:eastAsia="MS Gothic" w:hAnsiTheme="minorHAnsi" w:cs="Times New Roman"/>
          <w:b/>
          <w:bCs/>
          <w:color w:val="000000" w:themeColor="text1"/>
          <w:sz w:val="20"/>
          <w:szCs w:val="26"/>
        </w:rPr>
        <w:t>s</w:t>
      </w:r>
    </w:p>
    <w:p w14:paraId="6FD772B0" w14:textId="77777777" w:rsidR="00A802FC" w:rsidRPr="007C5ABD" w:rsidRDefault="00A802FC" w:rsidP="008A7A68">
      <w:pPr>
        <w:keepNext/>
        <w:keepLines/>
        <w:spacing w:after="120" w:line="280" w:lineRule="atLeast"/>
        <w:outlineLvl w:val="2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The Board will refund the </w:t>
      </w:r>
      <w:r w:rsidR="008E7EA0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fee if</w:t>
      </w:r>
      <w:r w:rsidR="008A7A68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</w:t>
      </w:r>
      <w:r w:rsidR="000B2552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a</w:t>
      </w:r>
      <w:r w:rsidR="00B41EF1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permit </w:t>
      </w:r>
      <w:r w:rsidR="007C5ABD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is </w:t>
      </w:r>
      <w:r w:rsidR="00B41EF1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withdrawn due to </w:t>
      </w:r>
      <w:r w:rsidR="007C5ABD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the Board being unable to </w:t>
      </w:r>
      <w:r w:rsidR="00B41EF1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appoint adequate officials or </w:t>
      </w:r>
      <w:r w:rsidR="007C5ABD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confirm </w:t>
      </w:r>
      <w:r w:rsidR="00BE7E77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Board member attendance</w:t>
      </w:r>
      <w:r w:rsidR="00996BC1" w:rsidRPr="007C5ABD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.</w:t>
      </w:r>
    </w:p>
    <w:p w14:paraId="3757C8CB" w14:textId="77777777" w:rsidR="00A802FC" w:rsidRPr="008A7A68" w:rsidRDefault="008A7A68" w:rsidP="008A7A68">
      <w:pPr>
        <w:keepNext/>
        <w:keepLines/>
        <w:spacing w:after="120" w:line="280" w:lineRule="atLeast"/>
        <w:outlineLvl w:val="2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The Board will consider a request to vary the date or venue of a permit if the request is received </w:t>
      </w:r>
      <w:r w:rsidR="004A2E1B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in writing </w:t>
      </w: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at least </w:t>
      </w:r>
      <w:r w:rsidR="004A2E1B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14 days </w:t>
      </w: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prior to the original approved date.</w:t>
      </w:r>
      <w:r w:rsidR="007C5ABD" w:rsidRPr="008A7A68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</w:t>
      </w:r>
      <w:r w:rsidR="00A802FC" w:rsidRPr="008A7A68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 </w:t>
      </w:r>
      <w:r w:rsidR="004A2E1B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In such cases a new permit application form must be completed and meet the regulatory requirements including being received by the Board at least 14 days before the date of the promotion.</w:t>
      </w:r>
    </w:p>
    <w:p w14:paraId="3DBEDB27" w14:textId="77777777" w:rsidR="00A802FC" w:rsidRDefault="00A802FC" w:rsidP="00A802FC">
      <w:pPr>
        <w:keepNext/>
        <w:keepLines/>
        <w:spacing w:after="120" w:line="280" w:lineRule="atLeast"/>
        <w:outlineLvl w:val="2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 xml:space="preserve">The Board will not refund the fee </w:t>
      </w:r>
      <w:r w:rsidR="004A2E1B"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if a promotion is cancelled</w:t>
      </w:r>
      <w:r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t>.</w:t>
      </w:r>
    </w:p>
    <w:p w14:paraId="5DEA44FA" w14:textId="77777777" w:rsidR="00B41EF1" w:rsidRPr="00022B45" w:rsidRDefault="00B41EF1" w:rsidP="0076713E">
      <w:pPr>
        <w:keepNext/>
        <w:keepLines/>
        <w:spacing w:after="120" w:line="280" w:lineRule="atLeast"/>
        <w:outlineLvl w:val="2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  <w:sectPr w:rsidR="00B41EF1" w:rsidRPr="00022B45">
          <w:type w:val="continuous"/>
          <w:pgSz w:w="11906" w:h="16838" w:code="9"/>
          <w:pgMar w:top="851" w:right="720" w:bottom="567" w:left="720" w:header="709" w:footer="709" w:gutter="0"/>
          <w:cols w:space="708"/>
          <w:docGrid w:linePitch="360"/>
        </w:sectPr>
      </w:pPr>
    </w:p>
    <w:p w14:paraId="7F65148A" w14:textId="77777777" w:rsidR="00B41EF1" w:rsidRPr="00B41EF1" w:rsidRDefault="00B41EF1" w:rsidP="00D54C4D">
      <w:pPr>
        <w:keepNext/>
        <w:keepLines/>
        <w:spacing w:before="280" w:after="120" w:line="280" w:lineRule="atLeast"/>
        <w:outlineLvl w:val="2"/>
        <w:rPr>
          <w:rFonts w:asciiTheme="minorHAnsi" w:eastAsia="MS Gothic" w:hAnsiTheme="minorHAnsi" w:cs="Times New Roman"/>
          <w:bCs/>
          <w:color w:val="000000" w:themeColor="text1"/>
          <w:sz w:val="20"/>
          <w:szCs w:val="26"/>
        </w:rPr>
      </w:pPr>
    </w:p>
    <w:p w14:paraId="63D1FDA6" w14:textId="77777777" w:rsidR="007753E5" w:rsidRPr="00B41EF1" w:rsidRDefault="007753E5" w:rsidP="006D21BD">
      <w:pPr>
        <w:pStyle w:val="NoSpacing"/>
        <w:jc w:val="center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</w:p>
    <w:sectPr w:rsidR="007753E5" w:rsidRPr="00B41EF1" w:rsidSect="006D21BD">
      <w:type w:val="continuous"/>
      <w:pgSz w:w="11906" w:h="16838" w:code="9"/>
      <w:pgMar w:top="851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C4E2" w14:textId="77777777" w:rsidR="00563CC7" w:rsidRDefault="00563CC7" w:rsidP="00B97434">
      <w:pPr>
        <w:spacing w:after="0" w:line="240" w:lineRule="auto"/>
      </w:pPr>
      <w:r>
        <w:separator/>
      </w:r>
    </w:p>
  </w:endnote>
  <w:endnote w:type="continuationSeparator" w:id="0">
    <w:p w14:paraId="62797369" w14:textId="77777777" w:rsidR="00563CC7" w:rsidRDefault="00563CC7" w:rsidP="00B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9407" w14:textId="77777777" w:rsidR="00C3199A" w:rsidRDefault="00C3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3928" w14:textId="652B85A1" w:rsidR="004F0665" w:rsidRPr="004F0665" w:rsidRDefault="00C3199A" w:rsidP="004F0665">
    <w:pPr>
      <w:pStyle w:val="Footer"/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51B24CD3">
        <v:shapetype id="_x0000_t202" coordsize="21600,21600" o:spt="202" path="m,l,21600r21600,l21600,xe">
          <v:stroke joinstyle="miter"/>
          <v:path gradientshapeok="t" o:connecttype="rect"/>
        </v:shapetype>
        <v:shape id="MSIPCM8b5a45418683f0aae2681f4e" o:spid="_x0000_s2050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01B4984D" w14:textId="08436DA9" w:rsidR="004F0665" w:rsidRPr="004F0665" w:rsidRDefault="004F0665" w:rsidP="004F0665">
                <w:pPr>
                  <w:spacing w:after="0"/>
                  <w:jc w:val="center"/>
                  <w:rPr>
                    <w:rFonts w:ascii="Calibri" w:hAnsi="Calibri"/>
                    <w:color w:val="000000"/>
                    <w:sz w:val="24"/>
                  </w:rPr>
                </w:pPr>
                <w:r w:rsidRPr="004F0665">
                  <w:rPr>
                    <w:rFonts w:ascii="Calibri" w:hAnsi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4F0665" w:rsidRPr="004F0665">
      <w:rPr>
        <w:rFonts w:ascii="Arial" w:hAnsi="Arial" w:cs="Arial"/>
        <w:sz w:val="20"/>
        <w:szCs w:val="20"/>
      </w:rPr>
      <w:t>Ref: CSID0018</w:t>
    </w:r>
  </w:p>
  <w:p w14:paraId="40DD8654" w14:textId="77777777" w:rsidR="004F0665" w:rsidRPr="004F0665" w:rsidRDefault="004F0665" w:rsidP="004F0665">
    <w:pPr>
      <w:pStyle w:val="Footer"/>
      <w:spacing w:after="0"/>
      <w:rPr>
        <w:rFonts w:ascii="Arial" w:hAnsi="Arial" w:cs="Arial"/>
        <w:sz w:val="20"/>
        <w:szCs w:val="20"/>
      </w:rPr>
    </w:pPr>
    <w:r w:rsidRPr="004F0665">
      <w:rPr>
        <w:rFonts w:ascii="Arial" w:hAnsi="Arial" w:cs="Arial"/>
        <w:sz w:val="20"/>
        <w:szCs w:val="20"/>
      </w:rPr>
      <w:t>Scheduled for review 1 July 2023</w:t>
    </w:r>
  </w:p>
  <w:p w14:paraId="778B5BB0" w14:textId="77777777" w:rsidR="004F0665" w:rsidRPr="002D3C46" w:rsidRDefault="004F0665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532" w14:textId="77777777" w:rsidR="00C3199A" w:rsidRDefault="00C319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3886A71330F423E95EEF04C6592A82F"/>
      </w:placeholder>
      <w:temporary/>
      <w:showingPlcHdr/>
    </w:sdtPr>
    <w:sdtEndPr/>
    <w:sdtContent>
      <w:p w14:paraId="064A6483" w14:textId="77777777" w:rsidR="00347531" w:rsidRDefault="00347531">
        <w:pPr>
          <w:pStyle w:val="Footer"/>
        </w:pPr>
        <w:r>
          <w:t>[Type text]</w:t>
        </w:r>
      </w:p>
    </w:sdtContent>
  </w:sdt>
  <w:p w14:paraId="6EFE9907" w14:textId="77777777" w:rsidR="00D54C4D" w:rsidRPr="00F65AA9" w:rsidRDefault="00D54C4D" w:rsidP="0051568D">
    <w:pPr>
      <w:pStyle w:val="DHHS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9A36" w14:textId="77777777" w:rsidR="00563CC7" w:rsidRDefault="00563CC7" w:rsidP="00B97434">
      <w:pPr>
        <w:spacing w:after="0" w:line="240" w:lineRule="auto"/>
      </w:pPr>
      <w:r>
        <w:separator/>
      </w:r>
    </w:p>
  </w:footnote>
  <w:footnote w:type="continuationSeparator" w:id="0">
    <w:p w14:paraId="6D866480" w14:textId="77777777" w:rsidR="00563CC7" w:rsidRDefault="00563CC7" w:rsidP="00B9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158" w14:textId="77777777" w:rsidR="00C3199A" w:rsidRDefault="00C31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15FE" w14:textId="1DD29BE7" w:rsidR="004F0665" w:rsidRDefault="00C3199A">
    <w:pPr>
      <w:pStyle w:val="Header"/>
    </w:pPr>
    <w:r>
      <w:rPr>
        <w:noProof/>
      </w:rPr>
      <w:pict w14:anchorId="33B3BD88">
        <v:shapetype id="_x0000_t202" coordsize="21600,21600" o:spt="202" path="m,l,21600r21600,l21600,xe">
          <v:stroke joinstyle="miter"/>
          <v:path gradientshapeok="t" o:connecttype="rect"/>
        </v:shapetype>
        <v:shape id="MSIPCMc3ea40a3940011d0c8465ad6" o:spid="_x0000_s2052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32D98364" w14:textId="5D9267A9" w:rsidR="004F0665" w:rsidRPr="004F0665" w:rsidRDefault="004F0665" w:rsidP="004F0665">
                <w:pPr>
                  <w:spacing w:after="0"/>
                  <w:jc w:val="center"/>
                  <w:rPr>
                    <w:rFonts w:ascii="Calibri" w:hAnsi="Calibri"/>
                    <w:color w:val="000000"/>
                    <w:sz w:val="24"/>
                  </w:rPr>
                </w:pPr>
                <w:r w:rsidRPr="004F0665">
                  <w:rPr>
                    <w:rFonts w:ascii="Calibri" w:hAnsi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0AC9" w14:textId="77777777" w:rsidR="00A351DE" w:rsidRDefault="00B97434" w:rsidP="00A351DE">
    <w:pPr>
      <w:pStyle w:val="Header"/>
    </w:pPr>
    <w:r>
      <w:rPr>
        <w:b/>
      </w:rPr>
      <w:tab/>
    </w:r>
    <w:r>
      <w:rPr>
        <w:b/>
      </w:rPr>
      <w:tab/>
    </w:r>
    <w:r w:rsidRPr="008C6665">
      <w:object w:dxaOrig="27349" w:dyaOrig="12013" w14:anchorId="5873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79.25pt;height:60pt">
          <v:imagedata r:id="rId1" o:title=""/>
        </v:shape>
        <o:OLEObject Type="Embed" ProgID="MSPhotoEd.3" ShapeID="_x0000_i1028" DrawAspect="Content" ObjectID="_1720509924" r:id="rId2"/>
      </w:object>
    </w:r>
  </w:p>
  <w:p w14:paraId="3FFEA952" w14:textId="77777777" w:rsidR="008A1B0E" w:rsidRDefault="00C3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0C49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41"/>
      </v:shape>
    </w:pict>
  </w:numPicBullet>
  <w:numPicBullet w:numPicBulletId="1">
    <w:pict>
      <v:shape w14:anchorId="0C736A09" id="_x0000_i1027" type="#_x0000_t75" style="width:11.25pt;height:11.25pt" o:bullet="t">
        <v:imagedata r:id="rId2" o:title="BD10297_"/>
      </v:shape>
    </w:pict>
  </w:numPicBullet>
  <w:numPicBullet w:numPicBulletId="2">
    <w:pict>
      <v:shape w14:anchorId="42B79C3C" id="_x0000_i1028" type="#_x0000_t75" style="width:9.75pt;height:9.75pt" o:bullet="t">
        <v:imagedata r:id="rId3" o:title="BD14795_"/>
      </v:shape>
    </w:pict>
  </w:numPicBullet>
  <w:abstractNum w:abstractNumId="0" w15:restartNumberingAfterBreak="0">
    <w:nsid w:val="006B4A0F"/>
    <w:multiLevelType w:val="hybridMultilevel"/>
    <w:tmpl w:val="F1AA8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604"/>
    <w:multiLevelType w:val="hybridMultilevel"/>
    <w:tmpl w:val="12549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27812"/>
    <w:multiLevelType w:val="hybridMultilevel"/>
    <w:tmpl w:val="4E18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CEF"/>
    <w:multiLevelType w:val="hybridMultilevel"/>
    <w:tmpl w:val="A15AA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592"/>
    <w:multiLevelType w:val="hybridMultilevel"/>
    <w:tmpl w:val="B20C0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281"/>
    <w:multiLevelType w:val="hybridMultilevel"/>
    <w:tmpl w:val="2E10A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AA0"/>
    <w:multiLevelType w:val="hybridMultilevel"/>
    <w:tmpl w:val="0130CBD0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90870"/>
    <w:multiLevelType w:val="hybridMultilevel"/>
    <w:tmpl w:val="1110DBD0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7C0"/>
    <w:multiLevelType w:val="hybridMultilevel"/>
    <w:tmpl w:val="E806D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42C6"/>
    <w:multiLevelType w:val="hybridMultilevel"/>
    <w:tmpl w:val="D4DA6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34630"/>
    <w:multiLevelType w:val="hybridMultilevel"/>
    <w:tmpl w:val="AAEA41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96AB4"/>
    <w:multiLevelType w:val="hybridMultilevel"/>
    <w:tmpl w:val="C78E18C4"/>
    <w:lvl w:ilvl="0" w:tplc="9E721A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8DE"/>
    <w:multiLevelType w:val="hybridMultilevel"/>
    <w:tmpl w:val="3A729ED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A02BA"/>
    <w:multiLevelType w:val="hybridMultilevel"/>
    <w:tmpl w:val="8E828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E73A5"/>
    <w:multiLevelType w:val="hybridMultilevel"/>
    <w:tmpl w:val="750AA126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E54E0"/>
    <w:multiLevelType w:val="hybridMultilevel"/>
    <w:tmpl w:val="83526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9A2"/>
    <w:multiLevelType w:val="hybridMultilevel"/>
    <w:tmpl w:val="AD5656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F372F"/>
    <w:multiLevelType w:val="hybridMultilevel"/>
    <w:tmpl w:val="6C62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4350"/>
    <w:multiLevelType w:val="hybridMultilevel"/>
    <w:tmpl w:val="1BAACCBE"/>
    <w:lvl w:ilvl="0" w:tplc="AFE0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00312"/>
    <w:multiLevelType w:val="hybridMultilevel"/>
    <w:tmpl w:val="FFFAA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73AC9"/>
    <w:multiLevelType w:val="hybridMultilevel"/>
    <w:tmpl w:val="C3BA6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0633"/>
    <w:multiLevelType w:val="hybridMultilevel"/>
    <w:tmpl w:val="137E4062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B470D0"/>
    <w:multiLevelType w:val="hybridMultilevel"/>
    <w:tmpl w:val="83526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B0F"/>
    <w:multiLevelType w:val="hybridMultilevel"/>
    <w:tmpl w:val="805A6210"/>
    <w:lvl w:ilvl="0" w:tplc="A37662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05EA9"/>
    <w:multiLevelType w:val="hybridMultilevel"/>
    <w:tmpl w:val="969E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3075"/>
    <w:multiLevelType w:val="hybridMultilevel"/>
    <w:tmpl w:val="DC227EDC"/>
    <w:lvl w:ilvl="0" w:tplc="2766E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35142"/>
    <w:multiLevelType w:val="hybridMultilevel"/>
    <w:tmpl w:val="3B2A3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E7EEC"/>
    <w:multiLevelType w:val="hybridMultilevel"/>
    <w:tmpl w:val="228A52DA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2664F"/>
    <w:multiLevelType w:val="hybridMultilevel"/>
    <w:tmpl w:val="83526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92AB0"/>
    <w:multiLevelType w:val="hybridMultilevel"/>
    <w:tmpl w:val="B13E1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9B5F44"/>
    <w:multiLevelType w:val="hybridMultilevel"/>
    <w:tmpl w:val="E4D8B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C6286"/>
    <w:multiLevelType w:val="hybridMultilevel"/>
    <w:tmpl w:val="EAAA2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272F7"/>
    <w:multiLevelType w:val="hybridMultilevel"/>
    <w:tmpl w:val="79786E3C"/>
    <w:lvl w:ilvl="0" w:tplc="D99264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61D4"/>
    <w:multiLevelType w:val="hybridMultilevel"/>
    <w:tmpl w:val="60843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A6959"/>
    <w:multiLevelType w:val="hybridMultilevel"/>
    <w:tmpl w:val="868AFE3A"/>
    <w:lvl w:ilvl="0" w:tplc="2FF08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34"/>
  </w:num>
  <w:num w:numId="5">
    <w:abstractNumId w:val="13"/>
  </w:num>
  <w:num w:numId="6">
    <w:abstractNumId w:val="9"/>
  </w:num>
  <w:num w:numId="7">
    <w:abstractNumId w:val="30"/>
  </w:num>
  <w:num w:numId="8">
    <w:abstractNumId w:val="23"/>
  </w:num>
  <w:num w:numId="9">
    <w:abstractNumId w:val="7"/>
  </w:num>
  <w:num w:numId="10">
    <w:abstractNumId w:val="4"/>
  </w:num>
  <w:num w:numId="11">
    <w:abstractNumId w:val="11"/>
  </w:num>
  <w:num w:numId="12">
    <w:abstractNumId w:val="32"/>
  </w:num>
  <w:num w:numId="13">
    <w:abstractNumId w:val="5"/>
  </w:num>
  <w:num w:numId="14">
    <w:abstractNumId w:val="3"/>
  </w:num>
  <w:num w:numId="15">
    <w:abstractNumId w:val="33"/>
  </w:num>
  <w:num w:numId="16">
    <w:abstractNumId w:val="2"/>
  </w:num>
  <w:num w:numId="17">
    <w:abstractNumId w:val="24"/>
  </w:num>
  <w:num w:numId="18">
    <w:abstractNumId w:val="0"/>
  </w:num>
  <w:num w:numId="19">
    <w:abstractNumId w:val="21"/>
  </w:num>
  <w:num w:numId="20">
    <w:abstractNumId w:val="17"/>
  </w:num>
  <w:num w:numId="21">
    <w:abstractNumId w:val="10"/>
  </w:num>
  <w:num w:numId="22">
    <w:abstractNumId w:val="20"/>
  </w:num>
  <w:num w:numId="23">
    <w:abstractNumId w:val="27"/>
  </w:num>
  <w:num w:numId="24">
    <w:abstractNumId w:val="14"/>
  </w:num>
  <w:num w:numId="25">
    <w:abstractNumId w:val="6"/>
  </w:num>
  <w:num w:numId="26">
    <w:abstractNumId w:val="16"/>
  </w:num>
  <w:num w:numId="27">
    <w:abstractNumId w:val="18"/>
  </w:num>
  <w:num w:numId="28">
    <w:abstractNumId w:val="12"/>
  </w:num>
  <w:num w:numId="29">
    <w:abstractNumId w:val="25"/>
  </w:num>
  <w:num w:numId="30">
    <w:abstractNumId w:val="1"/>
  </w:num>
  <w:num w:numId="31">
    <w:abstractNumId w:val="29"/>
  </w:num>
  <w:num w:numId="32">
    <w:abstractNumId w:val="31"/>
  </w:num>
  <w:num w:numId="33">
    <w:abstractNumId w:val="8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434"/>
    <w:rsid w:val="00022B45"/>
    <w:rsid w:val="000247F5"/>
    <w:rsid w:val="00030DA2"/>
    <w:rsid w:val="00051D8E"/>
    <w:rsid w:val="00056E99"/>
    <w:rsid w:val="00081E29"/>
    <w:rsid w:val="000A5AB3"/>
    <w:rsid w:val="000B2552"/>
    <w:rsid w:val="000B3553"/>
    <w:rsid w:val="000E0088"/>
    <w:rsid w:val="000F6208"/>
    <w:rsid w:val="00116051"/>
    <w:rsid w:val="00125B9E"/>
    <w:rsid w:val="0012642F"/>
    <w:rsid w:val="00170A86"/>
    <w:rsid w:val="001C529A"/>
    <w:rsid w:val="001C6D09"/>
    <w:rsid w:val="001D215A"/>
    <w:rsid w:val="001E038B"/>
    <w:rsid w:val="001F66C4"/>
    <w:rsid w:val="0020782B"/>
    <w:rsid w:val="00246E6A"/>
    <w:rsid w:val="00256EC5"/>
    <w:rsid w:val="00264AE9"/>
    <w:rsid w:val="002850EE"/>
    <w:rsid w:val="00291D2C"/>
    <w:rsid w:val="002D3C46"/>
    <w:rsid w:val="002E1AF1"/>
    <w:rsid w:val="002E47A3"/>
    <w:rsid w:val="00306BFE"/>
    <w:rsid w:val="00326481"/>
    <w:rsid w:val="00347531"/>
    <w:rsid w:val="0035603F"/>
    <w:rsid w:val="003916C5"/>
    <w:rsid w:val="003A2B50"/>
    <w:rsid w:val="00426AB6"/>
    <w:rsid w:val="004A1108"/>
    <w:rsid w:val="004A2E1B"/>
    <w:rsid w:val="004A3C7B"/>
    <w:rsid w:val="004A532D"/>
    <w:rsid w:val="004A6841"/>
    <w:rsid w:val="004F0665"/>
    <w:rsid w:val="004F0FBF"/>
    <w:rsid w:val="00545E44"/>
    <w:rsid w:val="00553A07"/>
    <w:rsid w:val="005625C6"/>
    <w:rsid w:val="00563CC7"/>
    <w:rsid w:val="00575635"/>
    <w:rsid w:val="005D2036"/>
    <w:rsid w:val="005D6EA9"/>
    <w:rsid w:val="005D7104"/>
    <w:rsid w:val="005D74BC"/>
    <w:rsid w:val="005E34CC"/>
    <w:rsid w:val="00600BFD"/>
    <w:rsid w:val="006108BC"/>
    <w:rsid w:val="0062296E"/>
    <w:rsid w:val="0063362B"/>
    <w:rsid w:val="00654E52"/>
    <w:rsid w:val="00671B72"/>
    <w:rsid w:val="0068009F"/>
    <w:rsid w:val="006851C4"/>
    <w:rsid w:val="006953A9"/>
    <w:rsid w:val="006C12BA"/>
    <w:rsid w:val="006D21BD"/>
    <w:rsid w:val="006D53B4"/>
    <w:rsid w:val="006F2768"/>
    <w:rsid w:val="006F487F"/>
    <w:rsid w:val="007042DF"/>
    <w:rsid w:val="00705E4E"/>
    <w:rsid w:val="00764287"/>
    <w:rsid w:val="00765D82"/>
    <w:rsid w:val="0076713E"/>
    <w:rsid w:val="007753E5"/>
    <w:rsid w:val="007A6E78"/>
    <w:rsid w:val="007C5ABD"/>
    <w:rsid w:val="007E5C3D"/>
    <w:rsid w:val="0080136F"/>
    <w:rsid w:val="0081111D"/>
    <w:rsid w:val="0081715A"/>
    <w:rsid w:val="00820284"/>
    <w:rsid w:val="008410C0"/>
    <w:rsid w:val="008414B6"/>
    <w:rsid w:val="00854C81"/>
    <w:rsid w:val="008567CF"/>
    <w:rsid w:val="0089676C"/>
    <w:rsid w:val="008A7A68"/>
    <w:rsid w:val="008D1D91"/>
    <w:rsid w:val="008E64C2"/>
    <w:rsid w:val="008E7A19"/>
    <w:rsid w:val="008E7EA0"/>
    <w:rsid w:val="008F4735"/>
    <w:rsid w:val="00923387"/>
    <w:rsid w:val="009340A1"/>
    <w:rsid w:val="00940612"/>
    <w:rsid w:val="00944D94"/>
    <w:rsid w:val="0096417B"/>
    <w:rsid w:val="009759CC"/>
    <w:rsid w:val="00996BC1"/>
    <w:rsid w:val="00A14F6A"/>
    <w:rsid w:val="00A33ADC"/>
    <w:rsid w:val="00A610BD"/>
    <w:rsid w:val="00A6136D"/>
    <w:rsid w:val="00A802FC"/>
    <w:rsid w:val="00AB003B"/>
    <w:rsid w:val="00AB424A"/>
    <w:rsid w:val="00B00154"/>
    <w:rsid w:val="00B07954"/>
    <w:rsid w:val="00B22B3D"/>
    <w:rsid w:val="00B4180F"/>
    <w:rsid w:val="00B41EF1"/>
    <w:rsid w:val="00B8214E"/>
    <w:rsid w:val="00B93D2C"/>
    <w:rsid w:val="00B97434"/>
    <w:rsid w:val="00BA0484"/>
    <w:rsid w:val="00BE7E77"/>
    <w:rsid w:val="00BF0355"/>
    <w:rsid w:val="00C013B2"/>
    <w:rsid w:val="00C03F71"/>
    <w:rsid w:val="00C06615"/>
    <w:rsid w:val="00C168E7"/>
    <w:rsid w:val="00C3199A"/>
    <w:rsid w:val="00C3701E"/>
    <w:rsid w:val="00C41A36"/>
    <w:rsid w:val="00C52A73"/>
    <w:rsid w:val="00C66183"/>
    <w:rsid w:val="00C67097"/>
    <w:rsid w:val="00C676BE"/>
    <w:rsid w:val="00C83E0F"/>
    <w:rsid w:val="00C84BA0"/>
    <w:rsid w:val="00CA3D87"/>
    <w:rsid w:val="00CC79C1"/>
    <w:rsid w:val="00CD272E"/>
    <w:rsid w:val="00CD57FE"/>
    <w:rsid w:val="00CD7378"/>
    <w:rsid w:val="00CE1957"/>
    <w:rsid w:val="00D1789F"/>
    <w:rsid w:val="00D434EA"/>
    <w:rsid w:val="00D54C4D"/>
    <w:rsid w:val="00D57519"/>
    <w:rsid w:val="00D729C7"/>
    <w:rsid w:val="00D77CAA"/>
    <w:rsid w:val="00D832A5"/>
    <w:rsid w:val="00DA1870"/>
    <w:rsid w:val="00DB0944"/>
    <w:rsid w:val="00DD0E17"/>
    <w:rsid w:val="00DD1AAE"/>
    <w:rsid w:val="00E050C6"/>
    <w:rsid w:val="00E2308F"/>
    <w:rsid w:val="00E4596D"/>
    <w:rsid w:val="00E5076E"/>
    <w:rsid w:val="00E737DE"/>
    <w:rsid w:val="00E80800"/>
    <w:rsid w:val="00E82940"/>
    <w:rsid w:val="00E860A2"/>
    <w:rsid w:val="00EA700D"/>
    <w:rsid w:val="00F15691"/>
    <w:rsid w:val="00F20D40"/>
    <w:rsid w:val="00F463BF"/>
    <w:rsid w:val="00F64D98"/>
    <w:rsid w:val="00F74533"/>
    <w:rsid w:val="00F9518F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4:docId w14:val="131A5762"/>
  <w15:docId w15:val="{E2F4D449-2896-4950-9184-40F82A5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3D"/>
  </w:style>
  <w:style w:type="paragraph" w:styleId="Heading1">
    <w:name w:val="heading 1"/>
    <w:basedOn w:val="Normal"/>
    <w:next w:val="Normal"/>
    <w:link w:val="Heading1Char"/>
    <w:uiPriority w:val="9"/>
    <w:qFormat/>
    <w:rsid w:val="00B22B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B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B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B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B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B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B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B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9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2B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B3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B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3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B3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B3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B3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B3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B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B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B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2B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22B3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B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22B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22B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22B3D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22B3D"/>
  </w:style>
  <w:style w:type="paragraph" w:styleId="Quote">
    <w:name w:val="Quote"/>
    <w:basedOn w:val="Normal"/>
    <w:next w:val="Normal"/>
    <w:link w:val="QuoteChar"/>
    <w:uiPriority w:val="29"/>
    <w:qFormat/>
    <w:rsid w:val="00B22B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B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B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B3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2B3D"/>
    <w:rPr>
      <w:i/>
      <w:iCs/>
    </w:rPr>
  </w:style>
  <w:style w:type="character" w:styleId="IntenseEmphasis">
    <w:name w:val="Intense Emphasis"/>
    <w:uiPriority w:val="21"/>
    <w:qFormat/>
    <w:rsid w:val="00B22B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2B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22B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22B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3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F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footer">
    <w:name w:val="DHHS footer"/>
    <w:uiPriority w:val="11"/>
    <w:rsid w:val="00D54C4D"/>
    <w:pPr>
      <w:tabs>
        <w:tab w:val="right" w:pos="10206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HHSbody">
    <w:name w:val="DHHS body"/>
    <w:qFormat/>
    <w:rsid w:val="00D54C4D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FollowedHyperlink">
    <w:name w:val="FollowedHyperlink"/>
    <w:uiPriority w:val="99"/>
    <w:rsid w:val="00D54C4D"/>
    <w:rPr>
      <w:color w:val="6633CC"/>
      <w:u w:val="dotted"/>
    </w:rPr>
  </w:style>
  <w:style w:type="character" w:styleId="PlaceholderText">
    <w:name w:val="Placeholder Text"/>
    <w:basedOn w:val="DefaultParagraphFont"/>
    <w:uiPriority w:val="99"/>
    <w:semiHidden/>
    <w:rsid w:val="00896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86A71330F423E95EEF04C6592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BF4F-D816-4A90-9DDF-BC6D6D3D5082}"/>
      </w:docPartPr>
      <w:docPartBody>
        <w:p w:rsidR="00E97CEE" w:rsidRDefault="009E60C2" w:rsidP="009E60C2">
          <w:pPr>
            <w:pStyle w:val="03886A71330F423E95EEF04C6592A8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C2"/>
    <w:rsid w:val="004D4918"/>
    <w:rsid w:val="009E60C2"/>
    <w:rsid w:val="00DF4B15"/>
    <w:rsid w:val="00E9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86A71330F423E95EEF04C6592A82F">
    <w:name w:val="03886A71330F423E95EEF04C6592A82F"/>
    <w:rsid w:val="009E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6CF3-5D0D-436D-892D-B36E15490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145DF-4ED4-4F5E-967F-438946616C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98a0cc5-c2a5-4cf9-8fa4-b0a7e7f68826"/>
    <ds:schemaRef ds:uri="bc440a9b-ab5b-4648-9ddb-74715e1dcd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D0697-624C-4EF8-98B4-5E7AC6D33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B1492-A9A9-4602-A3E2-52554D8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williak</dc:creator>
  <cp:lastModifiedBy>Dom Jurcec (DJPR)</cp:lastModifiedBy>
  <cp:revision>2</cp:revision>
  <cp:lastPrinted>2016-02-04T22:35:00Z</cp:lastPrinted>
  <dcterms:created xsi:type="dcterms:W3CDTF">2022-07-28T00:38:00Z</dcterms:created>
  <dcterms:modified xsi:type="dcterms:W3CDTF">2022-07-28T00:38:00Z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2022-07-28T00:38:40Z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3c7fd92c-7798-4309-a688-180bfb7a231f</vt:lpwstr>
  </property>
  <property fmtid="{D5CDD505-2E9C-101B-9397-08002B2CF9AE}" pid="9" name="MSIP_Label_d00a4df9-c942-4b09-b23a-6c1023f6de27_ContentBits">
    <vt:lpwstr>3</vt:lpwstr>
  </property>
</Properties>
</file>