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06" w:rsidRPr="00F90D20" w:rsidRDefault="003B0CB5" w:rsidP="002F27A9">
      <w:pPr>
        <w:rPr>
          <w:color w:val="auto"/>
        </w:rPr>
      </w:pPr>
      <w:r w:rsidRPr="00500F57">
        <w:rPr>
          <w:noProof/>
        </w:rPr>
        <w:drawing>
          <wp:inline distT="0" distB="0" distL="0" distR="0" wp14:anchorId="2ACF4A32" wp14:editId="6D5E19EE">
            <wp:extent cx="2952115" cy="322580"/>
            <wp:effectExtent l="0" t="0" r="635" b="1270"/>
            <wp:docPr id="584" name="Picture 1" descr="Marsden Jacob Associates logo" title="Marsden Jacob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rsden.MARSDENJACOB\Desktop\Original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115" cy="322580"/>
                    </a:xfrm>
                    <a:prstGeom prst="rect">
                      <a:avLst/>
                    </a:prstGeom>
                    <a:noFill/>
                    <a:ln>
                      <a:noFill/>
                    </a:ln>
                  </pic:spPr>
                </pic:pic>
              </a:graphicData>
            </a:graphic>
          </wp:inline>
        </w:drawing>
      </w:r>
    </w:p>
    <w:p w:rsidR="002F27A9" w:rsidRPr="002F27A9" w:rsidRDefault="002F27A9" w:rsidP="002F27A9">
      <w:pPr>
        <w:pStyle w:val="Title"/>
        <w:ind w:left="0"/>
        <w:rPr>
          <w:sz w:val="44"/>
          <w:szCs w:val="44"/>
        </w:rPr>
      </w:pPr>
      <w:r w:rsidRPr="002F27A9">
        <w:rPr>
          <w:sz w:val="44"/>
          <w:szCs w:val="44"/>
        </w:rPr>
        <w:t>A Marsden Jacob report</w:t>
      </w:r>
    </w:p>
    <w:p w:rsidR="008D4F84" w:rsidRPr="00F90D20" w:rsidRDefault="00EA493A" w:rsidP="002F27A9">
      <w:pPr>
        <w:pStyle w:val="Title"/>
        <w:spacing w:before="1600"/>
        <w:ind w:left="0"/>
      </w:pPr>
      <w:r>
        <w:t>Active impacts</w:t>
      </w:r>
    </w:p>
    <w:p w:rsidR="00657A8E" w:rsidRPr="002F27A9" w:rsidRDefault="00A86144" w:rsidP="002F27A9">
      <w:pPr>
        <w:pStyle w:val="Title"/>
        <w:ind w:left="0"/>
        <w:rPr>
          <w:rStyle w:val="SubtitleChar"/>
          <w:rFonts w:ascii="Arial" w:hAnsi="Arial"/>
          <w:color w:val="auto"/>
          <w:spacing w:val="-2"/>
          <w:sz w:val="44"/>
          <w:szCs w:val="44"/>
          <w:lang w:eastAsia="en-AU"/>
        </w:rPr>
      </w:pPr>
      <w:r w:rsidRPr="002F27A9">
        <w:rPr>
          <w:sz w:val="44"/>
          <w:szCs w:val="44"/>
        </w:rPr>
        <w:t>The economic impacts</w:t>
      </w:r>
      <w:r w:rsidR="008D4F84" w:rsidRPr="002F27A9">
        <w:rPr>
          <w:sz w:val="44"/>
          <w:szCs w:val="44"/>
        </w:rPr>
        <w:t xml:space="preserve"> of </w:t>
      </w:r>
      <w:r w:rsidR="005D4430" w:rsidRPr="002F27A9">
        <w:rPr>
          <w:sz w:val="44"/>
          <w:szCs w:val="44"/>
        </w:rPr>
        <w:t xml:space="preserve">active recreation in </w:t>
      </w:r>
      <w:r w:rsidR="008D4F84" w:rsidRPr="002F27A9">
        <w:rPr>
          <w:sz w:val="44"/>
          <w:szCs w:val="44"/>
        </w:rPr>
        <w:t>Victoria</w:t>
      </w:r>
    </w:p>
    <w:p w:rsidR="002F27A9" w:rsidRDefault="00657A8E" w:rsidP="002F27A9">
      <w:pPr>
        <w:pStyle w:val="Titlesmalltext"/>
        <w:framePr w:hSpace="0" w:wrap="auto" w:vAnchor="margin" w:hAnchor="text" w:xAlign="left" w:yAlign="inline"/>
        <w:spacing w:before="1200"/>
        <w:suppressOverlap w:val="0"/>
        <w:rPr>
          <w:rStyle w:val="SubtitleChar"/>
          <w:rFonts w:ascii="Arial" w:hAnsi="Arial"/>
          <w:color w:val="auto"/>
          <w:sz w:val="20"/>
        </w:rPr>
      </w:pPr>
      <w:r w:rsidRPr="002D30BA">
        <w:rPr>
          <w:rStyle w:val="SubtitleChar"/>
          <w:rFonts w:ascii="Arial" w:hAnsi="Arial"/>
          <w:color w:val="auto"/>
          <w:sz w:val="20"/>
        </w:rPr>
        <w:t>Prepared for</w:t>
      </w:r>
      <w:r>
        <w:rPr>
          <w:rStyle w:val="SubtitleChar"/>
          <w:rFonts w:ascii="Arial" w:hAnsi="Arial"/>
          <w:color w:val="auto"/>
          <w:sz w:val="20"/>
        </w:rPr>
        <w:t xml:space="preserve"> </w:t>
      </w:r>
    </w:p>
    <w:p w:rsidR="00657A8E" w:rsidRPr="002F27A9" w:rsidRDefault="00657A8E" w:rsidP="002F27A9">
      <w:pPr>
        <w:pStyle w:val="Title"/>
        <w:ind w:left="0"/>
        <w:rPr>
          <w:sz w:val="32"/>
          <w:szCs w:val="32"/>
        </w:rPr>
      </w:pPr>
      <w:r w:rsidRPr="002F27A9">
        <w:rPr>
          <w:sz w:val="32"/>
          <w:szCs w:val="32"/>
        </w:rPr>
        <w:t>Sport and Recreation Victoria</w:t>
      </w:r>
    </w:p>
    <w:p w:rsidR="00FF0B59" w:rsidRPr="00C27FC8" w:rsidRDefault="00657A8E" w:rsidP="002F27A9">
      <w:pPr>
        <w:pStyle w:val="Titlesmalltext"/>
        <w:framePr w:hSpace="0" w:wrap="auto" w:vAnchor="margin" w:hAnchor="text" w:xAlign="left" w:yAlign="inline"/>
        <w:suppressOverlap w:val="0"/>
        <w:jc w:val="right"/>
        <w:rPr>
          <w:color w:val="auto"/>
        </w:rPr>
      </w:pPr>
      <w:r w:rsidRPr="00F90D20">
        <w:rPr>
          <w:color w:val="auto"/>
        </w:rPr>
        <w:t>Issued 1 March 2018</w:t>
      </w:r>
    </w:p>
    <w:p w:rsidR="002F27A9" w:rsidRDefault="002F27A9" w:rsidP="002F27A9">
      <w:pPr>
        <w:sectPr w:rsidR="002F27A9" w:rsidSect="000F6BAD">
          <w:type w:val="continuous"/>
          <w:pgSz w:w="16839" w:h="11907" w:orient="landscape" w:code="9"/>
          <w:pgMar w:top="1134" w:right="1134" w:bottom="1134" w:left="1134" w:header="885" w:footer="607" w:gutter="0"/>
          <w:cols w:space="609"/>
          <w:docGrid w:linePitch="245"/>
        </w:sectPr>
      </w:pPr>
    </w:p>
    <w:p w:rsidR="00FA4E06" w:rsidRDefault="00FA4E06">
      <w:pPr>
        <w:keepLines w:val="0"/>
        <w:spacing w:after="0" w:line="240" w:lineRule="auto"/>
      </w:pPr>
      <w:r>
        <w:lastRenderedPageBreak/>
        <w:br w:type="page"/>
      </w:r>
    </w:p>
    <w:p w:rsidR="0031617D" w:rsidRPr="00EA493A" w:rsidRDefault="0031617D" w:rsidP="002F27A9">
      <w:r w:rsidRPr="00EA493A">
        <w:lastRenderedPageBreak/>
        <w:t xml:space="preserve">Copyright © Marsden Jacob Associates Pty Ltd </w:t>
      </w:r>
      <w:r w:rsidR="00702CA2" w:rsidRPr="00EA493A">
        <w:t>2018</w:t>
      </w:r>
    </w:p>
    <w:p w:rsidR="008211A0" w:rsidRPr="002F27A9" w:rsidRDefault="00464206" w:rsidP="002F27A9">
      <w:pPr>
        <w:rPr>
          <w:b/>
        </w:rPr>
      </w:pPr>
      <w:r w:rsidRPr="002F27A9">
        <w:rPr>
          <w:b/>
        </w:rPr>
        <w:t>S</w:t>
      </w:r>
      <w:r w:rsidR="000217E4" w:rsidRPr="002F27A9">
        <w:rPr>
          <w:b/>
        </w:rPr>
        <w:t>tatement</w:t>
      </w:r>
      <w:r w:rsidR="000217E4" w:rsidRPr="002F27A9">
        <w:rPr>
          <w:b/>
          <w:spacing w:val="-7"/>
        </w:rPr>
        <w:t xml:space="preserve"> </w:t>
      </w:r>
      <w:r w:rsidR="000217E4" w:rsidRPr="002F27A9">
        <w:rPr>
          <w:b/>
        </w:rPr>
        <w:t>of</w:t>
      </w:r>
      <w:r w:rsidR="000217E4" w:rsidRPr="002F27A9">
        <w:rPr>
          <w:b/>
          <w:spacing w:val="-7"/>
        </w:rPr>
        <w:t xml:space="preserve"> </w:t>
      </w:r>
      <w:r w:rsidR="00ED5BFE" w:rsidRPr="002F27A9">
        <w:rPr>
          <w:b/>
        </w:rPr>
        <w:t>c</w:t>
      </w:r>
      <w:r w:rsidR="000217E4" w:rsidRPr="002F27A9">
        <w:rPr>
          <w:b/>
        </w:rPr>
        <w:t>onfidentiality</w:t>
      </w:r>
    </w:p>
    <w:p w:rsidR="004E69C1" w:rsidRDefault="002E13B9" w:rsidP="002F27A9">
      <w:r w:rsidRPr="002E13B9">
        <w:t xml:space="preserve">This report has been prepared in accordance with the scope of services described in the contract or agreement between Marsden Jacob Associates Pty Ltd ACN 072 233 204 (MJA) and the </w:t>
      </w:r>
      <w:r w:rsidRPr="00F90D20">
        <w:t>Client</w:t>
      </w:r>
      <w:r w:rsidRPr="002E13B9">
        <w:t>. Any findings, conclusions or recommendations only apply to the aforementioned circumstances and no greater reliance should be assumed or drawn by the Client. Furthermore, the report has been prepared solely for use by the Client and Marsden Jacob Associates accepts no responsibility for its use by other parties.</w:t>
      </w:r>
    </w:p>
    <w:p w:rsidR="004E69C1" w:rsidRDefault="004E69C1">
      <w:pPr>
        <w:keepLines w:val="0"/>
        <w:spacing w:after="0" w:line="240" w:lineRule="auto"/>
      </w:pPr>
      <w:r>
        <w:br w:type="page"/>
      </w:r>
    </w:p>
    <w:p w:rsidR="004E69C1" w:rsidRPr="00500F57" w:rsidRDefault="004E69C1" w:rsidP="00672739">
      <w:pPr>
        <w:pStyle w:val="Caption"/>
        <w:spacing w:after="0"/>
      </w:pPr>
      <w:r w:rsidRPr="004E69C1">
        <w:lastRenderedPageBreak/>
        <w:t xml:space="preserve"> </w:t>
      </w:r>
      <w:r w:rsidRPr="00500F57">
        <w:t>Figure</w:t>
      </w:r>
      <w:r>
        <w:t xml:space="preserve"> 1</w:t>
      </w:r>
      <w:r w:rsidRPr="00500F57">
        <w:t xml:space="preserve">: </w:t>
      </w:r>
      <w:r>
        <w:t>Active</w:t>
      </w:r>
      <w:r w:rsidRPr="00500F57">
        <w:t xml:space="preserve"> recreation </w:t>
      </w:r>
      <w:r>
        <w:t>in</w:t>
      </w:r>
      <w:r w:rsidRPr="00500F57">
        <w:t xml:space="preserve"> Victoria</w:t>
      </w:r>
      <w:r>
        <w:t xml:space="preserve"> 2017 – 12 headline numbers</w:t>
      </w:r>
    </w:p>
    <w:p w:rsidR="00FA4E06" w:rsidRDefault="00E87AAC" w:rsidP="002F27A9">
      <w:r>
        <w:rPr>
          <w:noProof/>
        </w:rPr>
        <w:drawing>
          <wp:inline distT="0" distB="0" distL="0" distR="0">
            <wp:extent cx="9229725" cy="5362575"/>
            <wp:effectExtent l="0" t="0" r="9525" b="9525"/>
            <wp:docPr id="5" name="Picture 5" descr="Refer to Figure Descriptions section at the end of the document." title="Active recreation in Victoria 2017: 12 headli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9725" cy="5362575"/>
                    </a:xfrm>
                    <a:prstGeom prst="rect">
                      <a:avLst/>
                    </a:prstGeom>
                    <a:noFill/>
                    <a:ln>
                      <a:noFill/>
                    </a:ln>
                  </pic:spPr>
                </pic:pic>
              </a:graphicData>
            </a:graphic>
          </wp:inline>
        </w:drawing>
      </w:r>
    </w:p>
    <w:p w:rsidR="00093AFD" w:rsidRPr="00CA4D17" w:rsidRDefault="0075708C" w:rsidP="002F27A9">
      <w:pPr>
        <w:pStyle w:val="Heading1"/>
      </w:pPr>
      <w:bookmarkStart w:id="0" w:name="_Toc431986491"/>
      <w:bookmarkStart w:id="1" w:name="_Toc432978344"/>
      <w:bookmarkStart w:id="2" w:name="_Toc433121727"/>
      <w:bookmarkStart w:id="3" w:name="_Toc438122098"/>
      <w:bookmarkStart w:id="4" w:name="_Toc464058637"/>
      <w:bookmarkStart w:id="5" w:name="_Toc464570229"/>
      <w:bookmarkStart w:id="6" w:name="_Toc464570387"/>
      <w:bookmarkStart w:id="7" w:name="_Toc464638803"/>
      <w:bookmarkStart w:id="8" w:name="_Toc477964686"/>
      <w:bookmarkStart w:id="9" w:name="_Toc516050175"/>
      <w:bookmarkStart w:id="10" w:name="_Toc416034915"/>
      <w:bookmarkStart w:id="11" w:name="_Toc416041283"/>
      <w:bookmarkStart w:id="12" w:name="_Toc416082154"/>
      <w:bookmarkStart w:id="13" w:name="_Toc416084567"/>
      <w:bookmarkStart w:id="14" w:name="_Toc416271823"/>
      <w:bookmarkStart w:id="15" w:name="_Toc417400629"/>
      <w:bookmarkStart w:id="16" w:name="_Toc418238451"/>
      <w:bookmarkStart w:id="17" w:name="_Toc421628058"/>
      <w:bookmarkStart w:id="18" w:name="_Toc421632962"/>
      <w:bookmarkStart w:id="19" w:name="_Toc431551812"/>
      <w:bookmarkStart w:id="20" w:name="_Toc431553402"/>
      <w:bookmarkStart w:id="21" w:name="_Toc431564042"/>
      <w:bookmarkStart w:id="22" w:name="_Toc431810192"/>
      <w:r w:rsidRPr="00CA4D17">
        <w:lastRenderedPageBreak/>
        <w:t>Summary</w:t>
      </w:r>
      <w:bookmarkEnd w:id="0"/>
      <w:bookmarkEnd w:id="1"/>
      <w:bookmarkEnd w:id="2"/>
      <w:bookmarkEnd w:id="3"/>
      <w:bookmarkEnd w:id="4"/>
      <w:bookmarkEnd w:id="5"/>
      <w:bookmarkEnd w:id="6"/>
      <w:bookmarkEnd w:id="7"/>
      <w:bookmarkEnd w:id="8"/>
      <w:bookmarkEnd w:id="9"/>
    </w:p>
    <w:p w:rsidR="00A86144" w:rsidRPr="009F0FF4" w:rsidRDefault="00A86144" w:rsidP="002F27A9">
      <w:pPr>
        <w:rPr>
          <w:rStyle w:val="Emphasis"/>
        </w:rPr>
      </w:pPr>
      <w:r w:rsidRPr="009F0FF4">
        <w:rPr>
          <w:rStyle w:val="Emphasis"/>
        </w:rPr>
        <w:t xml:space="preserve">Many Victorians </w:t>
      </w:r>
      <w:r w:rsidR="00B02793" w:rsidRPr="009F0FF4">
        <w:rPr>
          <w:rStyle w:val="Emphasis"/>
        </w:rPr>
        <w:t>get</w:t>
      </w:r>
      <w:r w:rsidRPr="009F0FF4">
        <w:rPr>
          <w:rStyle w:val="Emphasis"/>
        </w:rPr>
        <w:t xml:space="preserve"> </w:t>
      </w:r>
      <w:r w:rsidR="00B02793" w:rsidRPr="009F0FF4">
        <w:rPr>
          <w:rStyle w:val="Emphasis"/>
        </w:rPr>
        <w:t>significant</w:t>
      </w:r>
      <w:r w:rsidRPr="009F0FF4">
        <w:rPr>
          <w:rStyle w:val="Emphasis"/>
        </w:rPr>
        <w:t xml:space="preserve"> value </w:t>
      </w:r>
      <w:r w:rsidR="00B02793" w:rsidRPr="009F0FF4">
        <w:rPr>
          <w:rStyle w:val="Emphasis"/>
        </w:rPr>
        <w:t>from doing</w:t>
      </w:r>
      <w:r w:rsidRPr="009F0FF4">
        <w:rPr>
          <w:rStyle w:val="Emphasis"/>
        </w:rPr>
        <w:t xml:space="preserve"> active recreation.</w:t>
      </w:r>
      <w:r w:rsidR="00D55005" w:rsidRPr="009F0FF4">
        <w:rPr>
          <w:rStyle w:val="Emphasis"/>
        </w:rPr>
        <w:t xml:space="preserve"> </w:t>
      </w:r>
      <w:r w:rsidRPr="009F0FF4">
        <w:rPr>
          <w:rStyle w:val="Emphasis"/>
        </w:rPr>
        <w:t xml:space="preserve">We know that active recreation </w:t>
      </w:r>
      <w:r w:rsidR="00234266" w:rsidRPr="009F0FF4">
        <w:rPr>
          <w:rStyle w:val="Emphasis"/>
        </w:rPr>
        <w:t xml:space="preserve">and sport </w:t>
      </w:r>
      <w:r w:rsidRPr="009F0FF4">
        <w:rPr>
          <w:rStyle w:val="Emphasis"/>
        </w:rPr>
        <w:t>generate a multitude of benefits that contribute to better health, wellbeing, social and economic outcomes in Vic</w:t>
      </w:r>
      <w:r w:rsidR="00711B89" w:rsidRPr="009F0FF4">
        <w:rPr>
          <w:rStyle w:val="Emphasis"/>
        </w:rPr>
        <w:t>toria, both</w:t>
      </w:r>
      <w:r w:rsidRPr="009F0FF4">
        <w:rPr>
          <w:rStyle w:val="Emphasis"/>
        </w:rPr>
        <w:t xml:space="preserve"> for Victorians and </w:t>
      </w:r>
      <w:r w:rsidR="00184E6A" w:rsidRPr="009F0FF4">
        <w:rPr>
          <w:rStyle w:val="Emphasis"/>
        </w:rPr>
        <w:t xml:space="preserve">for </w:t>
      </w:r>
      <w:r w:rsidRPr="009F0FF4">
        <w:rPr>
          <w:rStyle w:val="Emphasis"/>
        </w:rPr>
        <w:t>people who visit Victoria.</w:t>
      </w:r>
    </w:p>
    <w:p w:rsidR="00D55005" w:rsidRPr="00500F57" w:rsidRDefault="00A86144" w:rsidP="002F27A9">
      <w:r w:rsidRPr="00500F57">
        <w:t xml:space="preserve">What has not been known until now is </w:t>
      </w:r>
      <w:r w:rsidR="00B02793" w:rsidRPr="00500F57">
        <w:t xml:space="preserve">the economic value </w:t>
      </w:r>
      <w:r w:rsidR="00234266" w:rsidRPr="00500F57">
        <w:t xml:space="preserve">of the benefits that active recreation </w:t>
      </w:r>
      <w:r w:rsidR="00234266" w:rsidRPr="00E705D3">
        <w:t>generates</w:t>
      </w:r>
      <w:r w:rsidR="00234266" w:rsidRPr="00500F57">
        <w:t xml:space="preserve"> in Victoria</w:t>
      </w:r>
      <w:r w:rsidR="00B02793" w:rsidRPr="00500F57">
        <w:t>. Nor have we known</w:t>
      </w:r>
      <w:r w:rsidR="00234266" w:rsidRPr="00500F57">
        <w:t xml:space="preserve"> how th</w:t>
      </w:r>
      <w:r w:rsidR="00184E6A">
        <w:t>o</w:t>
      </w:r>
      <w:r w:rsidR="00234266" w:rsidRPr="00500F57">
        <w:t xml:space="preserve">se </w:t>
      </w:r>
      <w:r w:rsidR="00B02793" w:rsidRPr="00500F57">
        <w:t xml:space="preserve">economic </w:t>
      </w:r>
      <w:r w:rsidR="00234266" w:rsidRPr="00500F57">
        <w:t xml:space="preserve">benefits are distributed across the </w:t>
      </w:r>
      <w:r w:rsidR="00184E6A">
        <w:t>s</w:t>
      </w:r>
      <w:r w:rsidR="00234266" w:rsidRPr="00500F57">
        <w:t>tate,</w:t>
      </w:r>
      <w:r w:rsidR="006456B3" w:rsidRPr="00500F57">
        <w:t xml:space="preserve"> or how benefits are broadly distributed between individuals, businesses</w:t>
      </w:r>
      <w:r w:rsidR="006672B7" w:rsidRPr="00500F57">
        <w:t xml:space="preserve"> and</w:t>
      </w:r>
      <w:r w:rsidR="006456B3" w:rsidRPr="00500F57">
        <w:t xml:space="preserve"> </w:t>
      </w:r>
      <w:r w:rsidR="00184E6A">
        <w:t>g</w:t>
      </w:r>
      <w:r w:rsidR="006456B3" w:rsidRPr="00500F57">
        <w:t>overnment. We have also not known</w:t>
      </w:r>
      <w:r w:rsidR="00234266" w:rsidRPr="00500F57">
        <w:t xml:space="preserve"> how additional investment in active recreation can create health, wellbeing, social and economic returns on investment that more than offset the investment costs.</w:t>
      </w:r>
    </w:p>
    <w:p w:rsidR="00D55005" w:rsidRPr="00500F57" w:rsidRDefault="00434F79" w:rsidP="002F27A9">
      <w:r w:rsidRPr="00500F57">
        <w:t>Sport and Recreation Victoria</w:t>
      </w:r>
      <w:r>
        <w:t>, in t</w:t>
      </w:r>
      <w:r w:rsidR="009E712B" w:rsidRPr="00500F57">
        <w:t xml:space="preserve">he Department of Health and Human Services </w:t>
      </w:r>
      <w:r w:rsidR="00641998" w:rsidRPr="00500F57">
        <w:t>(</w:t>
      </w:r>
      <w:r>
        <w:t>DHHS</w:t>
      </w:r>
      <w:r w:rsidR="00641998" w:rsidRPr="00500F57">
        <w:t>)</w:t>
      </w:r>
      <w:r>
        <w:t>,</w:t>
      </w:r>
      <w:r w:rsidR="00641998" w:rsidRPr="00500F57">
        <w:t xml:space="preserve"> </w:t>
      </w:r>
      <w:r w:rsidR="00093AFD" w:rsidRPr="00500F57">
        <w:t>commission</w:t>
      </w:r>
      <w:r w:rsidR="00641998" w:rsidRPr="00500F57">
        <w:t>ed</w:t>
      </w:r>
      <w:r w:rsidR="00F1309E">
        <w:t xml:space="preserve"> Marsden Jacob Associates</w:t>
      </w:r>
      <w:r w:rsidR="00234266" w:rsidRPr="00500F57">
        <w:t xml:space="preserve"> to establish </w:t>
      </w:r>
      <w:r w:rsidR="00093AFD" w:rsidRPr="00500F57">
        <w:t xml:space="preserve">the economic value of active recreation to Victoria. </w:t>
      </w:r>
      <w:r w:rsidR="00234266" w:rsidRPr="00500F57">
        <w:t>Our</w:t>
      </w:r>
      <w:r w:rsidR="00093AFD" w:rsidRPr="00500F57">
        <w:t xml:space="preserve"> </w:t>
      </w:r>
      <w:r w:rsidR="00641998" w:rsidRPr="00500F57">
        <w:t>analysis quantifies</w:t>
      </w:r>
      <w:r w:rsidR="00093AFD" w:rsidRPr="00500F57">
        <w:t xml:space="preserve"> the contribution </w:t>
      </w:r>
      <w:r w:rsidR="00234266" w:rsidRPr="00500F57">
        <w:t xml:space="preserve">of active recreation </w:t>
      </w:r>
      <w:r w:rsidR="00093AFD" w:rsidRPr="00500F57">
        <w:t xml:space="preserve">to the Victorian economy </w:t>
      </w:r>
      <w:r w:rsidR="00184E6A">
        <w:t>as</w:t>
      </w:r>
      <w:r w:rsidR="00184E6A" w:rsidRPr="00500F57">
        <w:t xml:space="preserve"> </w:t>
      </w:r>
      <w:r w:rsidR="00093AFD" w:rsidRPr="00500F57">
        <w:t xml:space="preserve">direct and indirect revenue and employment from retail sales, tourism </w:t>
      </w:r>
      <w:r w:rsidR="00184E6A">
        <w:t xml:space="preserve">and </w:t>
      </w:r>
      <w:r w:rsidR="00093AFD" w:rsidRPr="00500F57">
        <w:t>event and activity participation</w:t>
      </w:r>
      <w:r w:rsidR="00184E6A">
        <w:t>,</w:t>
      </w:r>
      <w:r w:rsidR="00093AFD" w:rsidRPr="00500F57">
        <w:t xml:space="preserve"> as well as the value of health, wellbeing and social benef</w:t>
      </w:r>
      <w:r w:rsidR="00234266" w:rsidRPr="00500F57">
        <w:t>its.</w:t>
      </w:r>
    </w:p>
    <w:p w:rsidR="00093AFD" w:rsidRPr="00500F57" w:rsidRDefault="00234266" w:rsidP="002F27A9">
      <w:r w:rsidRPr="00500F57">
        <w:t>Our work also includes</w:t>
      </w:r>
      <w:r w:rsidR="00093AFD" w:rsidRPr="00500F57">
        <w:t xml:space="preserve"> an analysis of </w:t>
      </w:r>
      <w:r w:rsidRPr="00500F57">
        <w:t xml:space="preserve">potential </w:t>
      </w:r>
      <w:r w:rsidR="00093AFD" w:rsidRPr="00500F57">
        <w:t>return on investment and an assessment of the impact of movements in the levels of</w:t>
      </w:r>
      <w:r w:rsidRPr="00500F57">
        <w:t xml:space="preserve"> active recreation participation.</w:t>
      </w:r>
    </w:p>
    <w:p w:rsidR="00D55005" w:rsidRPr="00500F57" w:rsidRDefault="006672B7" w:rsidP="002F27A9">
      <w:r w:rsidRPr="00500F57">
        <w:t>A</w:t>
      </w:r>
      <w:r w:rsidR="005404CC" w:rsidRPr="00500F57">
        <w:t>ctive</w:t>
      </w:r>
      <w:r w:rsidR="00093AFD" w:rsidRPr="00500F57">
        <w:t xml:space="preserve"> recreation</w:t>
      </w:r>
      <w:r w:rsidR="0075708C" w:rsidRPr="00500F57">
        <w:t xml:space="preserve"> </w:t>
      </w:r>
      <w:r w:rsidRPr="00500F57">
        <w:t xml:space="preserve">in Victoria </w:t>
      </w:r>
      <w:r w:rsidR="00234266" w:rsidRPr="00500F57">
        <w:t xml:space="preserve">is </w:t>
      </w:r>
      <w:r w:rsidR="00E524FA">
        <w:t>extremely</w:t>
      </w:r>
      <w:r w:rsidR="00E524FA" w:rsidRPr="00500F57">
        <w:t xml:space="preserve"> </w:t>
      </w:r>
      <w:r w:rsidR="00234266" w:rsidRPr="00500F57">
        <w:t>diverse.</w:t>
      </w:r>
      <w:r w:rsidR="00D55005" w:rsidRPr="00500F57">
        <w:t xml:space="preserve"> </w:t>
      </w:r>
      <w:r w:rsidR="00234266" w:rsidRPr="00500F57">
        <w:t>It can be undertaken alone or with others, and range</w:t>
      </w:r>
      <w:r w:rsidR="00F1309E">
        <w:t>s</w:t>
      </w:r>
      <w:r w:rsidR="00234266" w:rsidRPr="00500F57">
        <w:t xml:space="preserve"> from walking</w:t>
      </w:r>
      <w:r w:rsidR="00E524FA">
        <w:t>,</w:t>
      </w:r>
      <w:r w:rsidR="00234266" w:rsidRPr="00500F57">
        <w:t xml:space="preserve"> yoga </w:t>
      </w:r>
      <w:r w:rsidR="00E524FA">
        <w:t>and</w:t>
      </w:r>
      <w:r w:rsidR="00E524FA" w:rsidRPr="00500F57">
        <w:t xml:space="preserve"> </w:t>
      </w:r>
      <w:r w:rsidR="005404CC" w:rsidRPr="00500F57">
        <w:t>barefoot</w:t>
      </w:r>
      <w:r w:rsidR="0027483D" w:rsidRPr="00500F57">
        <w:t xml:space="preserve"> </w:t>
      </w:r>
      <w:r w:rsidR="005404CC" w:rsidRPr="00500F57">
        <w:t>bowls</w:t>
      </w:r>
      <w:r w:rsidR="0027483D" w:rsidRPr="00500F57">
        <w:t xml:space="preserve"> to trail running, cycling</w:t>
      </w:r>
      <w:r w:rsidR="00E524FA">
        <w:t>,</w:t>
      </w:r>
      <w:r w:rsidR="0027483D" w:rsidRPr="00500F57">
        <w:t xml:space="preserve"> parkour </w:t>
      </w:r>
      <w:r w:rsidR="00E524FA">
        <w:t>and</w:t>
      </w:r>
      <w:r w:rsidR="00E524FA" w:rsidRPr="00500F57">
        <w:t xml:space="preserve"> </w:t>
      </w:r>
      <w:r w:rsidR="0027483D" w:rsidRPr="00500F57">
        <w:t xml:space="preserve">abseiling. As </w:t>
      </w:r>
      <w:r w:rsidR="005404CC" w:rsidRPr="00500F57">
        <w:t>distinct</w:t>
      </w:r>
      <w:r w:rsidR="0027483D" w:rsidRPr="00500F57">
        <w:t xml:space="preserve"> from </w:t>
      </w:r>
      <w:r w:rsidRPr="00500F57">
        <w:t xml:space="preserve">competition </w:t>
      </w:r>
      <w:r w:rsidR="0027483D" w:rsidRPr="00500F57">
        <w:t xml:space="preserve">sport, </w:t>
      </w:r>
      <w:r w:rsidR="00307165" w:rsidRPr="00500F57">
        <w:t>active recreation</w:t>
      </w:r>
      <w:r w:rsidR="0027483D" w:rsidRPr="00500F57">
        <w:t xml:space="preserve"> </w:t>
      </w:r>
      <w:r w:rsidR="005404CC" w:rsidRPr="00500F57">
        <w:t xml:space="preserve">is engaged </w:t>
      </w:r>
      <w:r w:rsidR="0027483D" w:rsidRPr="00500F57">
        <w:t>in for relaxation, health and wellbeing or enjoyment</w:t>
      </w:r>
      <w:r w:rsidR="00E524FA">
        <w:t xml:space="preserve">. The </w:t>
      </w:r>
      <w:r w:rsidR="0027483D" w:rsidRPr="00500F57">
        <w:t>primary activity requir</w:t>
      </w:r>
      <w:r w:rsidR="00E524FA">
        <w:t>es</w:t>
      </w:r>
      <w:r w:rsidR="0027483D" w:rsidRPr="00500F57">
        <w:t xml:space="preserve"> physical exertion, </w:t>
      </w:r>
      <w:r w:rsidR="005404CC" w:rsidRPr="00500F57">
        <w:t xml:space="preserve">and </w:t>
      </w:r>
      <w:r w:rsidR="0027483D" w:rsidRPr="00500F57">
        <w:t xml:space="preserve">the primary focus </w:t>
      </w:r>
      <w:r w:rsidR="00E524FA">
        <w:t xml:space="preserve">is </w:t>
      </w:r>
      <w:r w:rsidR="0027483D" w:rsidRPr="00500F57">
        <w:t>on human activity.</w:t>
      </w:r>
    </w:p>
    <w:p w:rsidR="0027483D" w:rsidRPr="00500F57" w:rsidRDefault="0027483D" w:rsidP="002F27A9">
      <w:pPr>
        <w:pStyle w:val="Heading2"/>
      </w:pPr>
      <w:r w:rsidRPr="00500F57">
        <w:t>Headline findings</w:t>
      </w:r>
    </w:p>
    <w:p w:rsidR="00D55005" w:rsidRPr="00500F57" w:rsidRDefault="0027483D" w:rsidP="002F27A9">
      <w:r w:rsidRPr="00500F57">
        <w:t>This report shows that a</w:t>
      </w:r>
      <w:r w:rsidR="009B2716" w:rsidRPr="00500F57">
        <w:t xml:space="preserve">ctive recreation </w:t>
      </w:r>
      <w:r w:rsidRPr="00500F57">
        <w:t>is a larger part of Victorian</w:t>
      </w:r>
      <w:r w:rsidR="00F1309E">
        <w:t>s’</w:t>
      </w:r>
      <w:r w:rsidRPr="00500F57">
        <w:t xml:space="preserve"> physical activity than </w:t>
      </w:r>
      <w:r w:rsidR="00F1309E">
        <w:t xml:space="preserve">organised </w:t>
      </w:r>
      <w:r w:rsidRPr="00500F57">
        <w:t>sport.</w:t>
      </w:r>
      <w:r w:rsidR="00D55005" w:rsidRPr="00500F57">
        <w:t xml:space="preserve"> </w:t>
      </w:r>
      <w:r w:rsidRPr="00500F57">
        <w:t xml:space="preserve">It also shows that active recreation </w:t>
      </w:r>
      <w:r w:rsidR="00B07538" w:rsidRPr="00500F57">
        <w:t>accounts for more physical activity sessions, time and energy expenditure than sport by a significant margin</w:t>
      </w:r>
      <w:r w:rsidRPr="00500F57">
        <w:t>.</w:t>
      </w:r>
    </w:p>
    <w:p w:rsidR="00D55005" w:rsidRPr="00500F57" w:rsidRDefault="008F31C3" w:rsidP="002F27A9">
      <w:r w:rsidRPr="00500F57">
        <w:t>Active recreation is</w:t>
      </w:r>
      <w:r w:rsidR="00F663D2" w:rsidRPr="00500F57">
        <w:t xml:space="preserve"> a significant</w:t>
      </w:r>
      <w:r w:rsidR="00A914DA" w:rsidRPr="00500F57">
        <w:t xml:space="preserve"> </w:t>
      </w:r>
      <w:r w:rsidR="005404CC" w:rsidRPr="00500F57">
        <w:t>contributor</w:t>
      </w:r>
      <w:r w:rsidRPr="00500F57">
        <w:t xml:space="preserve"> to the Victorian economy, and </w:t>
      </w:r>
      <w:r w:rsidR="0075708C" w:rsidRPr="00500F57">
        <w:t xml:space="preserve">a larger </w:t>
      </w:r>
      <w:r w:rsidR="00A914DA" w:rsidRPr="00500F57">
        <w:t>part</w:t>
      </w:r>
      <w:r w:rsidR="0075708C" w:rsidRPr="00500F57">
        <w:t xml:space="preserve"> of the economy </w:t>
      </w:r>
      <w:r w:rsidR="00C57E20" w:rsidRPr="00500F57">
        <w:t xml:space="preserve">than most </w:t>
      </w:r>
      <w:r w:rsidR="00CF610C" w:rsidRPr="00500F57">
        <w:t>of us</w:t>
      </w:r>
      <w:r w:rsidR="00C57E20" w:rsidRPr="00500F57">
        <w:t xml:space="preserve"> realis</w:t>
      </w:r>
      <w:r w:rsidR="0075708C" w:rsidRPr="00500F57">
        <w:t xml:space="preserve">e. </w:t>
      </w:r>
      <w:r w:rsidR="008808F9" w:rsidRPr="00500F57">
        <w:t>A</w:t>
      </w:r>
      <w:r w:rsidR="00C02103" w:rsidRPr="00500F57">
        <w:t>round</w:t>
      </w:r>
      <w:r w:rsidR="00C44314" w:rsidRPr="00500F57">
        <w:t xml:space="preserve"> $</w:t>
      </w:r>
      <w:r w:rsidR="00F648B9" w:rsidRPr="00500F57">
        <w:t>8.</w:t>
      </w:r>
      <w:r w:rsidR="005F09D8">
        <w:t>3</w:t>
      </w:r>
      <w:r w:rsidR="005F09D8" w:rsidRPr="00500F57">
        <w:t> </w:t>
      </w:r>
      <w:r w:rsidR="00D55005" w:rsidRPr="00500F57">
        <w:t>b</w:t>
      </w:r>
      <w:r w:rsidR="0075708C" w:rsidRPr="00500F57">
        <w:t xml:space="preserve">illion is spent each year on </w:t>
      </w:r>
      <w:r w:rsidR="00135930" w:rsidRPr="00500F57">
        <w:t xml:space="preserve">active recreation </w:t>
      </w:r>
      <w:r w:rsidR="00C57E20" w:rsidRPr="00500F57">
        <w:t>in Victoria</w:t>
      </w:r>
      <w:r w:rsidR="0075708C" w:rsidRPr="00500F57">
        <w:t>.</w:t>
      </w:r>
      <w:r w:rsidR="00D55005" w:rsidRPr="00500F57">
        <w:t xml:space="preserve"> </w:t>
      </w:r>
      <w:r w:rsidR="0075708C" w:rsidRPr="00500F57">
        <w:t>Th</w:t>
      </w:r>
      <w:r w:rsidR="00E524FA">
        <w:t>at</w:t>
      </w:r>
      <w:r w:rsidR="0075708C" w:rsidRPr="00500F57">
        <w:t xml:space="preserve"> expenditure </w:t>
      </w:r>
      <w:r w:rsidR="00C44314" w:rsidRPr="00500F57">
        <w:t>makes a</w:t>
      </w:r>
      <w:r w:rsidR="0075708C" w:rsidRPr="00500F57">
        <w:t xml:space="preserve"> $</w:t>
      </w:r>
      <w:r w:rsidR="005F09D8">
        <w:t>8.1</w:t>
      </w:r>
      <w:r w:rsidR="00D55005" w:rsidRPr="00500F57">
        <w:t> b</w:t>
      </w:r>
      <w:r w:rsidR="00C44314" w:rsidRPr="00500F57">
        <w:t>illion</w:t>
      </w:r>
      <w:r w:rsidR="0075708C" w:rsidRPr="00500F57">
        <w:t xml:space="preserve"> </w:t>
      </w:r>
      <w:r w:rsidR="00C07CB7" w:rsidRPr="00500F57">
        <w:t xml:space="preserve">value-added </w:t>
      </w:r>
      <w:r w:rsidR="00C44314" w:rsidRPr="00500F57">
        <w:t xml:space="preserve">contribution </w:t>
      </w:r>
      <w:r w:rsidR="008808F9" w:rsidRPr="00500F57">
        <w:t xml:space="preserve">to </w:t>
      </w:r>
      <w:r w:rsidR="00F1309E">
        <w:t>the state’s</w:t>
      </w:r>
      <w:r w:rsidR="00F1309E" w:rsidRPr="00500F57">
        <w:t xml:space="preserve"> </w:t>
      </w:r>
      <w:r w:rsidR="008808F9" w:rsidRPr="00500F57">
        <w:t>economy</w:t>
      </w:r>
      <w:r w:rsidR="0075708C" w:rsidRPr="00500F57">
        <w:t xml:space="preserve"> and supports</w:t>
      </w:r>
      <w:r w:rsidR="002243FC" w:rsidRPr="00500F57">
        <w:t xml:space="preserve"> around</w:t>
      </w:r>
      <w:r w:rsidR="00C07CB7" w:rsidRPr="00500F57">
        <w:t xml:space="preserve"> </w:t>
      </w:r>
      <w:r w:rsidR="005F09D8" w:rsidRPr="00500F57">
        <w:t>5</w:t>
      </w:r>
      <w:r w:rsidR="005F09D8">
        <w:t>1</w:t>
      </w:r>
      <w:r w:rsidR="00C07CB7" w:rsidRPr="00500F57">
        <w:t>,000</w:t>
      </w:r>
      <w:r w:rsidR="00C57E20" w:rsidRPr="00500F57">
        <w:t xml:space="preserve"> </w:t>
      </w:r>
      <w:r w:rsidR="008808F9" w:rsidRPr="00500F57">
        <w:t xml:space="preserve">direct and indirect </w:t>
      </w:r>
      <w:r w:rsidR="00492E8F" w:rsidRPr="00500F57">
        <w:t xml:space="preserve">full-time equivalent </w:t>
      </w:r>
      <w:r w:rsidR="00C44314" w:rsidRPr="00500F57">
        <w:t>jobs.</w:t>
      </w:r>
    </w:p>
    <w:p w:rsidR="00D55005" w:rsidRDefault="008F31C3" w:rsidP="002F27A9">
      <w:r w:rsidRPr="00500F57">
        <w:lastRenderedPageBreak/>
        <w:t xml:space="preserve">Based on work by Deakin Health Economics commissioned for this project, </w:t>
      </w:r>
      <w:r w:rsidR="00026A52" w:rsidRPr="00500F57">
        <w:t xml:space="preserve">we estimate </w:t>
      </w:r>
      <w:r w:rsidR="006672B7" w:rsidRPr="00500F57">
        <w:t xml:space="preserve">that </w:t>
      </w:r>
      <w:r w:rsidR="007A7D37" w:rsidRPr="00500F57">
        <w:t>making every</w:t>
      </w:r>
      <w:r w:rsidR="00026A52" w:rsidRPr="00500F57">
        <w:t xml:space="preserve"> Victoria</w:t>
      </w:r>
      <w:r w:rsidR="007A7D37" w:rsidRPr="00500F57">
        <w:t>n</w:t>
      </w:r>
      <w:r w:rsidR="00026A52" w:rsidRPr="00500F57">
        <w:t xml:space="preserve"> adult </w:t>
      </w:r>
      <w:r w:rsidR="007A7D37" w:rsidRPr="00500F57">
        <w:t>physically active</w:t>
      </w:r>
      <w:r w:rsidR="00026A52" w:rsidRPr="00500F57">
        <w:t xml:space="preserve"> would deliver healthcare system</w:t>
      </w:r>
      <w:r w:rsidR="004A2FC7" w:rsidRPr="00500F57">
        <w:t xml:space="preserve"> benefits worth $24</w:t>
      </w:r>
      <w:r w:rsidR="00D55005" w:rsidRPr="00500F57">
        <w:t>5 m</w:t>
      </w:r>
      <w:r w:rsidR="004A2FC7" w:rsidRPr="00500F57">
        <w:t>illion</w:t>
      </w:r>
      <w:r w:rsidR="002804FA" w:rsidRPr="00500F57">
        <w:t>.</w:t>
      </w:r>
      <w:r w:rsidR="00D55005" w:rsidRPr="00500F57">
        <w:t xml:space="preserve"> </w:t>
      </w:r>
      <w:r w:rsidR="002804FA" w:rsidRPr="00500F57">
        <w:t>It would also deliver</w:t>
      </w:r>
      <w:r w:rsidR="00026A52" w:rsidRPr="00500F57">
        <w:t xml:space="preserve"> </w:t>
      </w:r>
      <w:r w:rsidR="00B64A9D" w:rsidRPr="00500F57">
        <w:t>work</w:t>
      </w:r>
      <w:r w:rsidR="006B6599" w:rsidRPr="00500F57">
        <w:t xml:space="preserve">place </w:t>
      </w:r>
      <w:r w:rsidR="00026A52" w:rsidRPr="00500F57">
        <w:t>production benefits potentially worth $3.</w:t>
      </w:r>
      <w:r w:rsidR="00D55005" w:rsidRPr="00500F57">
        <w:t>1 b</w:t>
      </w:r>
      <w:r w:rsidR="00026A52" w:rsidRPr="00500F57">
        <w:t>illion over the lifetime of this population</w:t>
      </w:r>
      <w:r w:rsidR="00E524FA">
        <w:t>,</w:t>
      </w:r>
      <w:r w:rsidR="006766DC" w:rsidRPr="00500F57">
        <w:t xml:space="preserve"> based on estimates of production lost due to people leaving work </w:t>
      </w:r>
      <w:r w:rsidR="00E524FA">
        <w:t>because of</w:t>
      </w:r>
      <w:r w:rsidR="006766DC" w:rsidRPr="00500F57">
        <w:t xml:space="preserve"> death or disability.</w:t>
      </w:r>
      <w:r w:rsidR="00D55005" w:rsidRPr="00500F57">
        <w:t xml:space="preserve"> </w:t>
      </w:r>
      <w:r w:rsidR="00F1309E">
        <w:t>And it</w:t>
      </w:r>
      <w:r w:rsidR="00F1309E" w:rsidRPr="00500F57">
        <w:t xml:space="preserve"> </w:t>
      </w:r>
      <w:r w:rsidR="006766DC" w:rsidRPr="00500F57">
        <w:t>would provide</w:t>
      </w:r>
      <w:r w:rsidR="00B64A9D" w:rsidRPr="00500F57">
        <w:t xml:space="preserve"> home</w:t>
      </w:r>
      <w:r w:rsidR="00E524FA">
        <w:t>-</w:t>
      </w:r>
      <w:r w:rsidR="00B64A9D" w:rsidRPr="00500F57">
        <w:t xml:space="preserve">based labour production </w:t>
      </w:r>
      <w:r w:rsidR="006766DC" w:rsidRPr="00500F57">
        <w:t xml:space="preserve">benefits worth </w:t>
      </w:r>
      <w:r w:rsidR="00E524FA">
        <w:t>around</w:t>
      </w:r>
      <w:r w:rsidR="006766DC" w:rsidRPr="00500F57">
        <w:t xml:space="preserve"> $12</w:t>
      </w:r>
      <w:r w:rsidR="00D55005" w:rsidRPr="00500F57">
        <w:t>5 m</w:t>
      </w:r>
      <w:r w:rsidR="00B64A9D" w:rsidRPr="00500F57">
        <w:t>illion</w:t>
      </w:r>
      <w:r w:rsidR="00026A52" w:rsidRPr="00500F57">
        <w:t>.</w:t>
      </w:r>
    </w:p>
    <w:p w:rsidR="00D55005" w:rsidRPr="00500F57" w:rsidRDefault="006456B3" w:rsidP="002F27A9">
      <w:r w:rsidRPr="00500F57">
        <w:t>The beneficiaries of these health and wellbeing benefits are the individual</w:t>
      </w:r>
      <w:r w:rsidR="00E524FA">
        <w:t xml:space="preserve"> participants</w:t>
      </w:r>
      <w:r w:rsidR="00F1309E">
        <w:t xml:space="preserve"> (</w:t>
      </w:r>
      <w:r w:rsidRPr="00500F57">
        <w:t>who benefit from better health</w:t>
      </w:r>
      <w:r w:rsidR="00F1309E">
        <w:t>)</w:t>
      </w:r>
      <w:r w:rsidRPr="00500F57">
        <w:t xml:space="preserve">, </w:t>
      </w:r>
      <w:r w:rsidR="00E524FA">
        <w:t xml:space="preserve">the </w:t>
      </w:r>
      <w:r w:rsidRPr="00500F57">
        <w:t xml:space="preserve">businesses </w:t>
      </w:r>
      <w:r w:rsidR="00E524FA">
        <w:t>that</w:t>
      </w:r>
      <w:r w:rsidR="00E524FA" w:rsidRPr="00500F57">
        <w:t xml:space="preserve"> </w:t>
      </w:r>
      <w:r w:rsidRPr="00500F57">
        <w:t>employ them</w:t>
      </w:r>
      <w:r w:rsidR="00F1309E">
        <w:t xml:space="preserve"> (</w:t>
      </w:r>
      <w:r w:rsidRPr="00500F57">
        <w:t>wh</w:t>
      </w:r>
      <w:r w:rsidR="00E524FA">
        <w:t>ich</w:t>
      </w:r>
      <w:r w:rsidRPr="00500F57">
        <w:t xml:space="preserve"> benefit from reduced absenteeism and </w:t>
      </w:r>
      <w:proofErr w:type="spellStart"/>
      <w:r w:rsidRPr="00500F57">
        <w:t>presenteeism</w:t>
      </w:r>
      <w:proofErr w:type="spellEnd"/>
      <w:r w:rsidR="00634F6A">
        <w:rPr>
          <w:rStyle w:val="FootnoteReference"/>
        </w:rPr>
        <w:footnoteReference w:id="2"/>
      </w:r>
      <w:r w:rsidR="00F1309E">
        <w:t>)</w:t>
      </w:r>
      <w:r w:rsidRPr="00500F57">
        <w:t xml:space="preserve"> and </w:t>
      </w:r>
      <w:r w:rsidR="00E524FA">
        <w:t>g</w:t>
      </w:r>
      <w:r w:rsidRPr="00500F57">
        <w:t>overnment</w:t>
      </w:r>
      <w:r w:rsidR="00E524FA">
        <w:t xml:space="preserve"> </w:t>
      </w:r>
      <w:r w:rsidR="00F1309E">
        <w:t>(</w:t>
      </w:r>
      <w:r w:rsidR="00E524FA">
        <w:t xml:space="preserve">which </w:t>
      </w:r>
      <w:r w:rsidRPr="00500F57">
        <w:t>benefit</w:t>
      </w:r>
      <w:r w:rsidR="00E524FA">
        <w:t>s</w:t>
      </w:r>
      <w:r w:rsidRPr="00500F57">
        <w:t xml:space="preserve"> from future savings in healthcare expenditure on physically inactive Victorians and </w:t>
      </w:r>
      <w:r w:rsidR="00F1309E">
        <w:t xml:space="preserve">from </w:t>
      </w:r>
      <w:r w:rsidRPr="00500F57">
        <w:t>tax transfers from higher individual incomes</w:t>
      </w:r>
      <w:r w:rsidR="00F1309E">
        <w:t>)</w:t>
      </w:r>
      <w:r w:rsidRPr="00500F57">
        <w:t>.</w:t>
      </w:r>
    </w:p>
    <w:p w:rsidR="00537835" w:rsidRDefault="008F31C3" w:rsidP="002F27A9">
      <w:r w:rsidRPr="00500F57">
        <w:t>Active recreation also provides in the order of</w:t>
      </w:r>
      <w:r w:rsidR="0068782A" w:rsidRPr="00500F57">
        <w:t xml:space="preserve"> $</w:t>
      </w:r>
      <w:r w:rsidR="00026A52" w:rsidRPr="00500F57">
        <w:t>3</w:t>
      </w:r>
      <w:r w:rsidR="004A2FC7" w:rsidRPr="00500F57">
        <w:t>.</w:t>
      </w:r>
      <w:r w:rsidR="0047106F">
        <w:t>8</w:t>
      </w:r>
      <w:r w:rsidR="0047106F" w:rsidRPr="00500F57">
        <w:t> </w:t>
      </w:r>
      <w:r w:rsidR="00D55005" w:rsidRPr="00500F57">
        <w:t>b</w:t>
      </w:r>
      <w:r w:rsidR="00026A52" w:rsidRPr="00500F57">
        <w:t>illion</w:t>
      </w:r>
      <w:r w:rsidR="0068782A" w:rsidRPr="00500F57">
        <w:t xml:space="preserve"> in other recreation benefits</w:t>
      </w:r>
      <w:r w:rsidR="009011F0" w:rsidRPr="00500F57">
        <w:t xml:space="preserve"> for Victorians</w:t>
      </w:r>
      <w:r w:rsidR="00026A52" w:rsidRPr="00500F57">
        <w:t xml:space="preserve"> each year</w:t>
      </w:r>
      <w:r w:rsidR="00A914DA" w:rsidRPr="00500F57">
        <w:t>.</w:t>
      </w:r>
      <w:r w:rsidR="00D55005" w:rsidRPr="00500F57">
        <w:t xml:space="preserve"> </w:t>
      </w:r>
      <w:r w:rsidR="00744C14" w:rsidRPr="00500F57">
        <w:t xml:space="preserve">For reasons we discuss in this report, these estimates more likely underestimate than overestimate the benefits of </w:t>
      </w:r>
      <w:r w:rsidR="00135930" w:rsidRPr="00500F57">
        <w:t>active recreation</w:t>
      </w:r>
      <w:r w:rsidR="00744C14" w:rsidRPr="00500F57">
        <w:t xml:space="preserve"> in Victoria.</w:t>
      </w:r>
    </w:p>
    <w:p w:rsidR="006461E5" w:rsidRPr="00500F57" w:rsidRDefault="006461E5" w:rsidP="002F27A9">
      <w:r>
        <w:t>In terms of the economy, e</w:t>
      </w:r>
      <w:r w:rsidRPr="00B539C9">
        <w:t>very one per cent increase in the number of Victorians who are sufficiently active will result in the creation of around 1,300 full time equivalent jobs and generate</w:t>
      </w:r>
      <w:r w:rsidR="00670BA2">
        <w:t>, on average, an additional $160</w:t>
      </w:r>
      <w:r w:rsidRPr="00B539C9">
        <w:t xml:space="preserve"> million in gross value added economic benefit per year.</w:t>
      </w:r>
    </w:p>
    <w:p w:rsidR="00026A52" w:rsidRPr="00500F57" w:rsidRDefault="008F31C3" w:rsidP="002F27A9">
      <w:r w:rsidRPr="00500F57">
        <w:t>In this report</w:t>
      </w:r>
      <w:r w:rsidR="00E524FA">
        <w:t>,</w:t>
      </w:r>
      <w:r w:rsidRPr="00500F57">
        <w:t xml:space="preserve"> we evaluate the return on investment to Victoria </w:t>
      </w:r>
      <w:r w:rsidR="00E524FA">
        <w:t>from</w:t>
      </w:r>
      <w:r w:rsidR="00E524FA" w:rsidRPr="00500F57">
        <w:t xml:space="preserve"> </w:t>
      </w:r>
      <w:r w:rsidRPr="00500F57">
        <w:t xml:space="preserve">shifting the adult population </w:t>
      </w:r>
      <w:r w:rsidR="007A7D37" w:rsidRPr="00500F57">
        <w:t>to being physically active</w:t>
      </w:r>
      <w:r w:rsidRPr="00500F57">
        <w:t xml:space="preserve"> by increasing participation in active recreation.</w:t>
      </w:r>
      <w:r w:rsidR="00D55005" w:rsidRPr="00500F57">
        <w:t xml:space="preserve"> </w:t>
      </w:r>
      <w:r w:rsidR="00026A52" w:rsidRPr="00500F57">
        <w:t>We then convert th</w:t>
      </w:r>
      <w:r w:rsidR="00E524FA">
        <w:t>o</w:t>
      </w:r>
      <w:r w:rsidR="00026A52" w:rsidRPr="00500F57">
        <w:t xml:space="preserve">se estimates into ‘per person’ measures </w:t>
      </w:r>
      <w:r w:rsidR="006672B7" w:rsidRPr="00500F57">
        <w:t xml:space="preserve">that </w:t>
      </w:r>
      <w:r w:rsidR="00026A52" w:rsidRPr="00500F57">
        <w:t xml:space="preserve">can be used to evaluate the order of magnitude of the benefit of programs that increase active recreation (or sport) </w:t>
      </w:r>
      <w:r w:rsidR="00E524FA">
        <w:t>among</w:t>
      </w:r>
      <w:r w:rsidR="00E524FA" w:rsidRPr="00500F57">
        <w:t xml:space="preserve"> </w:t>
      </w:r>
      <w:r w:rsidR="00026A52" w:rsidRPr="00500F57">
        <w:t xml:space="preserve">the </w:t>
      </w:r>
      <w:r w:rsidR="00E524FA">
        <w:t>‘</w:t>
      </w:r>
      <w:r w:rsidR="007A7D37" w:rsidRPr="00500F57">
        <w:t>insufficient</w:t>
      </w:r>
      <w:r w:rsidR="00385F71">
        <w:t>ly</w:t>
      </w:r>
      <w:r w:rsidR="007A7D37" w:rsidRPr="00500F57">
        <w:t xml:space="preserve"> physical</w:t>
      </w:r>
      <w:r w:rsidR="00385F71">
        <w:t>ly</w:t>
      </w:r>
      <w:r w:rsidR="007A7D37" w:rsidRPr="00500F57">
        <w:t xml:space="preserve"> activ</w:t>
      </w:r>
      <w:r w:rsidR="00385F71">
        <w:t>e</w:t>
      </w:r>
      <w:r w:rsidR="00E524FA">
        <w:t>’</w:t>
      </w:r>
      <w:r w:rsidR="007A7D37" w:rsidRPr="00500F57">
        <w:t xml:space="preserve"> </w:t>
      </w:r>
      <w:r w:rsidR="00026A52" w:rsidRPr="00500F57">
        <w:t xml:space="preserve">2016 Victorian </w:t>
      </w:r>
      <w:r w:rsidR="00385F71">
        <w:t>adult</w:t>
      </w:r>
      <w:r w:rsidR="00026A52" w:rsidRPr="00500F57">
        <w:t xml:space="preserve"> population so that they become and then remain physically active.</w:t>
      </w:r>
      <w:r w:rsidR="00D55005" w:rsidRPr="00500F57">
        <w:t xml:space="preserve"> </w:t>
      </w:r>
      <w:r w:rsidR="00385F71">
        <w:t>Our</w:t>
      </w:r>
      <w:r w:rsidR="00385F71" w:rsidRPr="00500F57">
        <w:t xml:space="preserve"> </w:t>
      </w:r>
      <w:r w:rsidR="00026A52" w:rsidRPr="00500F57">
        <w:t>evaluation shows</w:t>
      </w:r>
      <w:r w:rsidR="00B50D7D">
        <w:t xml:space="preserve"> the following</w:t>
      </w:r>
      <w:r w:rsidR="00026A52" w:rsidRPr="00500F57">
        <w:t>:</w:t>
      </w:r>
    </w:p>
    <w:p w:rsidR="00026A52" w:rsidRPr="00500F57" w:rsidRDefault="00B50D7D" w:rsidP="002F27A9">
      <w:pPr>
        <w:pStyle w:val="ListParagraph"/>
      </w:pPr>
      <w:r>
        <w:t>F</w:t>
      </w:r>
      <w:r w:rsidR="00026A52" w:rsidRPr="00500F57">
        <w:t xml:space="preserve">or every 10,000 </w:t>
      </w:r>
      <w:r w:rsidR="007A7D37" w:rsidRPr="00500F57">
        <w:t>insufficiently active</w:t>
      </w:r>
      <w:r w:rsidR="00026A52" w:rsidRPr="00500F57">
        <w:t xml:space="preserve"> people who become active and stay active</w:t>
      </w:r>
      <w:r>
        <w:t>,</w:t>
      </w:r>
      <w:r w:rsidR="00026A52" w:rsidRPr="00500F57">
        <w:t xml:space="preserve"> Victoria will avoid around </w:t>
      </w:r>
      <w:r w:rsidR="00E70465" w:rsidRPr="00500F57">
        <w:t>26</w:t>
      </w:r>
      <w:r w:rsidR="00D55005" w:rsidRPr="00500F57">
        <w:t>5 D</w:t>
      </w:r>
      <w:r w:rsidR="00026A52" w:rsidRPr="00500F57">
        <w:t>ALYs</w:t>
      </w:r>
      <w:r w:rsidR="008472D9" w:rsidRPr="00500F57">
        <w:rPr>
          <w:rStyle w:val="FootnoteReference"/>
        </w:rPr>
        <w:footnoteReference w:id="3"/>
      </w:r>
      <w:r w:rsidR="00026A52" w:rsidRPr="00500F57">
        <w:t xml:space="preserve">, </w:t>
      </w:r>
      <w:r w:rsidR="00E70465" w:rsidRPr="00500F57">
        <w:t>6</w:t>
      </w:r>
      <w:r w:rsidR="00D55005" w:rsidRPr="00500F57">
        <w:t>5 i</w:t>
      </w:r>
      <w:r w:rsidR="00026A52" w:rsidRPr="00500F57">
        <w:t>ncidence</w:t>
      </w:r>
      <w:r w:rsidR="006672B7" w:rsidRPr="00500F57">
        <w:t>s</w:t>
      </w:r>
      <w:r w:rsidR="00E70465" w:rsidRPr="00500F57">
        <w:t xml:space="preserve"> of disease and around 1</w:t>
      </w:r>
      <w:r w:rsidR="00D55005" w:rsidRPr="00500F57">
        <w:t>5 d</w:t>
      </w:r>
      <w:r w:rsidR="00026A52" w:rsidRPr="00500F57">
        <w:t xml:space="preserve">eaths from five major non-communicable diseases directly attributable to </w:t>
      </w:r>
      <w:r w:rsidR="007A7D37" w:rsidRPr="00500F57">
        <w:t xml:space="preserve">insufficient </w:t>
      </w:r>
      <w:r w:rsidR="00026A52" w:rsidRPr="00500F57">
        <w:t>physical activity.</w:t>
      </w:r>
    </w:p>
    <w:p w:rsidR="00026A52" w:rsidRPr="00500F57" w:rsidRDefault="00B50D7D" w:rsidP="002F27A9">
      <w:pPr>
        <w:pStyle w:val="ListParagraph"/>
      </w:pPr>
      <w:r>
        <w:t>H</w:t>
      </w:r>
      <w:r w:rsidR="00026A52" w:rsidRPr="00500F57">
        <w:t xml:space="preserve">ealthcare cost savings for each person who becomes physically active </w:t>
      </w:r>
      <w:r w:rsidR="00385F71">
        <w:t>are</w:t>
      </w:r>
      <w:r w:rsidR="00385F71" w:rsidRPr="00500F57">
        <w:t xml:space="preserve"> </w:t>
      </w:r>
      <w:r w:rsidR="00026A52" w:rsidRPr="00500F57">
        <w:t>in the order of $1</w:t>
      </w:r>
      <w:r w:rsidR="007A7D37" w:rsidRPr="00500F57">
        <w:t>00</w:t>
      </w:r>
      <w:r w:rsidR="00026A52" w:rsidRPr="00500F57">
        <w:t xml:space="preserve"> on average over their lifetime, measured in 2016 dollars. As we note above, this healthcare estimate more likely underestimates than overestimates the true healthcare cost to Victoria for a number of reasons.</w:t>
      </w:r>
    </w:p>
    <w:p w:rsidR="00D55005" w:rsidRPr="00500F57" w:rsidRDefault="00385F71" w:rsidP="002F27A9">
      <w:pPr>
        <w:pStyle w:val="ListParagraph"/>
      </w:pPr>
      <w:r>
        <w:t>T</w:t>
      </w:r>
      <w:r w:rsidR="00026A52" w:rsidRPr="00500F57">
        <w:t xml:space="preserve">he </w:t>
      </w:r>
      <w:r w:rsidR="006766DC" w:rsidRPr="00500F57">
        <w:t xml:space="preserve">workforce </w:t>
      </w:r>
      <w:r w:rsidR="00026A52" w:rsidRPr="00500F57">
        <w:t xml:space="preserve">production benefit per person who becomes physically active is in the </w:t>
      </w:r>
      <w:r w:rsidR="006672B7" w:rsidRPr="00500F57">
        <w:t>$</w:t>
      </w:r>
      <w:r w:rsidR="007A7D37" w:rsidRPr="00500F57">
        <w:t>2</w:t>
      </w:r>
      <w:r w:rsidR="002804FA" w:rsidRPr="00500F57">
        <w:t>00</w:t>
      </w:r>
      <w:r w:rsidR="006672B7" w:rsidRPr="00500F57">
        <w:t xml:space="preserve"> </w:t>
      </w:r>
      <w:r w:rsidR="00B50D7D">
        <w:t>to</w:t>
      </w:r>
      <w:r w:rsidR="00B50D7D" w:rsidRPr="00500F57">
        <w:t xml:space="preserve"> </w:t>
      </w:r>
      <w:r w:rsidR="00026A52" w:rsidRPr="00500F57">
        <w:t>$</w:t>
      </w:r>
      <w:r w:rsidR="007A7D37" w:rsidRPr="00500F57">
        <w:t>1</w:t>
      </w:r>
      <w:r w:rsidR="00026A52" w:rsidRPr="00500F57">
        <w:t>,</w:t>
      </w:r>
      <w:r w:rsidR="007A7D37" w:rsidRPr="00500F57">
        <w:t>25</w:t>
      </w:r>
      <w:r w:rsidR="002804FA" w:rsidRPr="00500F57">
        <w:t>0</w:t>
      </w:r>
      <w:r w:rsidR="00B50D7D">
        <w:t xml:space="preserve"> range</w:t>
      </w:r>
      <w:r w:rsidR="002804FA" w:rsidRPr="00500F57">
        <w:t xml:space="preserve"> </w:t>
      </w:r>
      <w:r w:rsidR="00026A52" w:rsidRPr="00500F57">
        <w:t xml:space="preserve">over their lifetime, on average, </w:t>
      </w:r>
      <w:r w:rsidR="006672B7" w:rsidRPr="00500F57">
        <w:t>depending on the</w:t>
      </w:r>
      <w:r w:rsidR="00026A52" w:rsidRPr="00500F57">
        <w:t xml:space="preserve"> </w:t>
      </w:r>
      <w:r>
        <w:t xml:space="preserve">measurement </w:t>
      </w:r>
      <w:r w:rsidR="00026A52" w:rsidRPr="00500F57">
        <w:t>approach</w:t>
      </w:r>
      <w:r w:rsidR="006672B7" w:rsidRPr="00500F57">
        <w:t xml:space="preserve"> used</w:t>
      </w:r>
      <w:r w:rsidR="00026A52" w:rsidRPr="00500F57">
        <w:t>.</w:t>
      </w:r>
    </w:p>
    <w:p w:rsidR="00CA4D17" w:rsidRPr="00CA4D17" w:rsidRDefault="00026A52" w:rsidP="002F27A9">
      <w:r w:rsidRPr="00500F57">
        <w:lastRenderedPageBreak/>
        <w:t xml:space="preserve">Combining the avoided health and </w:t>
      </w:r>
      <w:r w:rsidR="006766DC" w:rsidRPr="00500F57">
        <w:t xml:space="preserve">workforce </w:t>
      </w:r>
      <w:r w:rsidR="006672B7" w:rsidRPr="00500F57">
        <w:t>production benefit</w:t>
      </w:r>
      <w:r w:rsidRPr="00500F57">
        <w:t xml:space="preserve"> estimates suggests</w:t>
      </w:r>
      <w:r w:rsidR="00B50D7D">
        <w:t xml:space="preserve"> that</w:t>
      </w:r>
      <w:r w:rsidRPr="00500F57">
        <w:t xml:space="preserve"> permanently shifting one Victorian from the 2016 population aged 15+ </w:t>
      </w:r>
      <w:r w:rsidR="00B50D7D">
        <w:t xml:space="preserve">years </w:t>
      </w:r>
      <w:r w:rsidR="007A7D37" w:rsidRPr="00500F57">
        <w:t>doing insufficient physical activity to being</w:t>
      </w:r>
      <w:r w:rsidRPr="00500F57">
        <w:t xml:space="preserve"> physically active will deliver present value benefits in the range of $</w:t>
      </w:r>
      <w:r w:rsidR="007A7D37" w:rsidRPr="00500F57">
        <w:t>300</w:t>
      </w:r>
      <w:r w:rsidRPr="00500F57">
        <w:t xml:space="preserve"> </w:t>
      </w:r>
      <w:r w:rsidR="00B50D7D">
        <w:t>to</w:t>
      </w:r>
      <w:r w:rsidR="00B50D7D" w:rsidRPr="00500F57">
        <w:t xml:space="preserve"> </w:t>
      </w:r>
      <w:r w:rsidRPr="00500F57">
        <w:t>$</w:t>
      </w:r>
      <w:r w:rsidR="00C3643F" w:rsidRPr="00500F57">
        <w:t>1</w:t>
      </w:r>
      <w:r w:rsidRPr="00500F57">
        <w:t>,</w:t>
      </w:r>
      <w:r w:rsidR="002804FA" w:rsidRPr="00500F57">
        <w:t>3</w:t>
      </w:r>
      <w:r w:rsidR="00C3643F" w:rsidRPr="00500F57">
        <w:t>50</w:t>
      </w:r>
      <w:r w:rsidR="002804FA" w:rsidRPr="00500F57">
        <w:t xml:space="preserve"> </w:t>
      </w:r>
      <w:r w:rsidRPr="00500F57">
        <w:t>over the individual’s lifetime, on average, using a 7</w:t>
      </w:r>
      <w:r w:rsidR="002D30BA">
        <w:t xml:space="preserve"> per cent</w:t>
      </w:r>
      <w:r w:rsidRPr="00500F57">
        <w:t xml:space="preserve"> real discount rate.</w:t>
      </w:r>
      <w:r w:rsidR="00D55005" w:rsidRPr="00500F57">
        <w:t xml:space="preserve"> </w:t>
      </w:r>
      <w:r w:rsidRPr="00500F57">
        <w:t>This estimate is conservative because it excludes recreation, leisure and home</w:t>
      </w:r>
      <w:r w:rsidR="00B50D7D">
        <w:t>-</w:t>
      </w:r>
      <w:r w:rsidRPr="00500F57">
        <w:t>based production activities to avoid double counting</w:t>
      </w:r>
      <w:r w:rsidR="00231EC7" w:rsidRPr="00500F57">
        <w:t>.</w:t>
      </w:r>
    </w:p>
    <w:p w:rsidR="00205849" w:rsidRPr="006119E4" w:rsidRDefault="00205849" w:rsidP="00737DF6">
      <w:pPr>
        <w:pStyle w:val="Caption"/>
      </w:pPr>
      <w:r w:rsidRPr="006119E4">
        <w:t xml:space="preserve">Headline estimates of the economic value of Victorian </w:t>
      </w:r>
      <w:r w:rsidR="00135930" w:rsidRPr="006119E4">
        <w:t>active recreation</w:t>
      </w:r>
      <w:r w:rsidRPr="006119E4">
        <w:t xml:space="preserve"> </w:t>
      </w:r>
    </w:p>
    <w:tbl>
      <w:tblPr>
        <w:tblStyle w:val="MJAnew"/>
        <w:tblW w:w="0" w:type="auto"/>
        <w:tblInd w:w="108" w:type="dxa"/>
        <w:tblLook w:val="04A0" w:firstRow="1" w:lastRow="0" w:firstColumn="1" w:lastColumn="0" w:noHBand="0" w:noVBand="1"/>
      </w:tblPr>
      <w:tblGrid>
        <w:gridCol w:w="5046"/>
        <w:gridCol w:w="1475"/>
      </w:tblGrid>
      <w:tr w:rsidR="00026A52" w:rsidRPr="00F90D20" w:rsidTr="009F0FF4">
        <w:tc>
          <w:tcPr>
            <w:tcW w:w="5046" w:type="dxa"/>
          </w:tcPr>
          <w:p w:rsidR="00026A52" w:rsidRPr="00F90D20" w:rsidRDefault="00026A52" w:rsidP="002F27A9">
            <w:pPr>
              <w:pStyle w:val="tabletextalluvium"/>
              <w:rPr>
                <w:rFonts w:ascii="Arial" w:hAnsi="Arial"/>
              </w:rPr>
            </w:pPr>
            <w:r w:rsidRPr="00F90D20">
              <w:rPr>
                <w:rFonts w:ascii="Arial" w:hAnsi="Arial"/>
              </w:rPr>
              <w:t>Participation (incidences of active recreation activity) by Victorians aged 15+ each year</w:t>
            </w:r>
          </w:p>
        </w:tc>
        <w:tc>
          <w:tcPr>
            <w:tcW w:w="1475" w:type="dxa"/>
            <w:vAlign w:val="bottom"/>
          </w:tcPr>
          <w:p w:rsidR="00026A52" w:rsidRPr="00F90D20" w:rsidRDefault="0047106F" w:rsidP="002F27A9">
            <w:pPr>
              <w:pStyle w:val="tabletextalluvium"/>
              <w:rPr>
                <w:rFonts w:ascii="Arial" w:hAnsi="Arial"/>
              </w:rPr>
            </w:pPr>
            <w:r w:rsidRPr="00F90D20">
              <w:rPr>
                <w:rFonts w:ascii="Arial" w:hAnsi="Arial"/>
              </w:rPr>
              <w:t>726 </w:t>
            </w:r>
            <w:r w:rsidR="00D55005" w:rsidRPr="00F90D20">
              <w:rPr>
                <w:rFonts w:ascii="Arial" w:hAnsi="Arial"/>
              </w:rPr>
              <w:t>m</w:t>
            </w:r>
            <w:r w:rsidR="00026A52" w:rsidRPr="00F90D20">
              <w:rPr>
                <w:rFonts w:ascii="Arial" w:hAnsi="Arial"/>
              </w:rPr>
              <w:t>illion</w:t>
            </w:r>
          </w:p>
        </w:tc>
      </w:tr>
      <w:tr w:rsidR="00026A52" w:rsidRPr="00F90D20" w:rsidTr="009F0FF4">
        <w:tc>
          <w:tcPr>
            <w:tcW w:w="5046" w:type="dxa"/>
          </w:tcPr>
          <w:p w:rsidR="00026A52" w:rsidRPr="00F90D20" w:rsidRDefault="00026A52" w:rsidP="002F27A9">
            <w:pPr>
              <w:pStyle w:val="tabletextalluvium"/>
              <w:rPr>
                <w:rFonts w:ascii="Arial" w:hAnsi="Arial"/>
              </w:rPr>
            </w:pPr>
            <w:r w:rsidRPr="00F90D20">
              <w:rPr>
                <w:rFonts w:ascii="Arial" w:hAnsi="Arial"/>
              </w:rPr>
              <w:t>Hours of physical activity by Victorians age</w:t>
            </w:r>
            <w:r w:rsidR="00B50D7D" w:rsidRPr="00F90D20">
              <w:rPr>
                <w:rFonts w:ascii="Arial" w:hAnsi="Arial"/>
              </w:rPr>
              <w:t>d</w:t>
            </w:r>
            <w:r w:rsidRPr="00F90D20">
              <w:rPr>
                <w:rFonts w:ascii="Arial" w:hAnsi="Arial"/>
              </w:rPr>
              <w:t xml:space="preserve"> 15+ each year</w:t>
            </w:r>
          </w:p>
        </w:tc>
        <w:tc>
          <w:tcPr>
            <w:tcW w:w="1475" w:type="dxa"/>
            <w:vAlign w:val="bottom"/>
          </w:tcPr>
          <w:p w:rsidR="00026A52" w:rsidRPr="00F90D20" w:rsidDel="00B27FB2" w:rsidRDefault="0047106F" w:rsidP="002F27A9">
            <w:pPr>
              <w:pStyle w:val="tabletextalluvium"/>
              <w:rPr>
                <w:rFonts w:ascii="Arial" w:hAnsi="Arial"/>
              </w:rPr>
            </w:pPr>
            <w:r w:rsidRPr="00F90D20">
              <w:rPr>
                <w:rFonts w:ascii="Arial" w:hAnsi="Arial"/>
              </w:rPr>
              <w:t>612 </w:t>
            </w:r>
            <w:r w:rsidR="00D55005" w:rsidRPr="00F90D20">
              <w:rPr>
                <w:rFonts w:ascii="Arial" w:hAnsi="Arial"/>
              </w:rPr>
              <w:t>m</w:t>
            </w:r>
            <w:r w:rsidR="00026A52" w:rsidRPr="00F90D20">
              <w:rPr>
                <w:rFonts w:ascii="Arial" w:hAnsi="Arial"/>
              </w:rPr>
              <w:t>illion</w:t>
            </w:r>
          </w:p>
        </w:tc>
      </w:tr>
      <w:tr w:rsidR="00B07538" w:rsidRPr="00F90D20" w:rsidTr="009F0FF4">
        <w:tc>
          <w:tcPr>
            <w:tcW w:w="5046" w:type="dxa"/>
          </w:tcPr>
          <w:p w:rsidR="00B07538" w:rsidRPr="00F90D20" w:rsidRDefault="00B07538" w:rsidP="002F27A9">
            <w:pPr>
              <w:pStyle w:val="tabletextalluvium"/>
              <w:rPr>
                <w:rFonts w:ascii="Arial" w:hAnsi="Arial"/>
              </w:rPr>
            </w:pPr>
            <w:r w:rsidRPr="00F90D20">
              <w:rPr>
                <w:rFonts w:ascii="Arial" w:hAnsi="Arial"/>
              </w:rPr>
              <w:t>Metabolic expenditure</w:t>
            </w:r>
            <w:r w:rsidR="00816C4D" w:rsidRPr="00F90D20">
              <w:rPr>
                <w:rFonts w:ascii="Arial" w:hAnsi="Arial"/>
              </w:rPr>
              <w:t xml:space="preserve"> of task</w:t>
            </w:r>
            <w:r w:rsidRPr="00F90D20">
              <w:rPr>
                <w:rFonts w:ascii="Arial" w:hAnsi="Arial"/>
              </w:rPr>
              <w:t xml:space="preserve"> (MET)</w:t>
            </w:r>
            <w:r w:rsidR="00816C4D" w:rsidRPr="00F90D20">
              <w:rPr>
                <w:rFonts w:ascii="Arial" w:hAnsi="Arial"/>
              </w:rPr>
              <w:t xml:space="preserve"> hours</w:t>
            </w:r>
          </w:p>
        </w:tc>
        <w:tc>
          <w:tcPr>
            <w:tcW w:w="1475" w:type="dxa"/>
            <w:vAlign w:val="bottom"/>
          </w:tcPr>
          <w:p w:rsidR="00B07538" w:rsidRPr="00F90D20" w:rsidRDefault="0047106F" w:rsidP="002F27A9">
            <w:pPr>
              <w:pStyle w:val="tabletextalluvium"/>
              <w:rPr>
                <w:rFonts w:ascii="Arial" w:hAnsi="Arial"/>
              </w:rPr>
            </w:pPr>
            <w:r w:rsidRPr="00F90D20">
              <w:rPr>
                <w:rFonts w:ascii="Arial" w:hAnsi="Arial"/>
              </w:rPr>
              <w:t>3,071</w:t>
            </w:r>
            <w:r w:rsidR="00D55005" w:rsidRPr="00F90D20">
              <w:rPr>
                <w:rFonts w:ascii="Arial" w:hAnsi="Arial"/>
              </w:rPr>
              <w:t> m</w:t>
            </w:r>
            <w:r w:rsidR="00B07538" w:rsidRPr="00F90D20">
              <w:rPr>
                <w:rFonts w:ascii="Arial" w:hAnsi="Arial"/>
              </w:rPr>
              <w:t>illion</w:t>
            </w:r>
          </w:p>
        </w:tc>
      </w:tr>
      <w:tr w:rsidR="00026A52" w:rsidRPr="00F90D20" w:rsidTr="009F0FF4">
        <w:tc>
          <w:tcPr>
            <w:tcW w:w="5046" w:type="dxa"/>
          </w:tcPr>
          <w:p w:rsidR="00026A52" w:rsidRPr="00F90D20" w:rsidRDefault="00026A52" w:rsidP="002F27A9">
            <w:pPr>
              <w:pStyle w:val="tabletextalluvium"/>
              <w:rPr>
                <w:rFonts w:ascii="Arial" w:hAnsi="Arial"/>
              </w:rPr>
            </w:pPr>
            <w:r w:rsidRPr="00F90D20">
              <w:rPr>
                <w:rFonts w:ascii="Arial" w:hAnsi="Arial"/>
              </w:rPr>
              <w:t>Active recreation annual expenditures</w:t>
            </w:r>
            <w:r w:rsidR="00D55005" w:rsidRPr="00F90D20">
              <w:rPr>
                <w:rFonts w:ascii="Arial" w:hAnsi="Arial"/>
              </w:rPr>
              <w:t>—</w:t>
            </w:r>
            <w:r w:rsidRPr="00F90D20">
              <w:rPr>
                <w:rFonts w:ascii="Arial" w:hAnsi="Arial"/>
              </w:rPr>
              <w:t>all sources ($ 2014)</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w:t>
            </w:r>
            <w:r w:rsidR="00F648B9" w:rsidRPr="00F90D20">
              <w:rPr>
                <w:rFonts w:ascii="Arial" w:hAnsi="Arial"/>
              </w:rPr>
              <w:t>8.</w:t>
            </w:r>
            <w:r w:rsidR="0047106F" w:rsidRPr="00F90D20">
              <w:rPr>
                <w:rFonts w:ascii="Arial" w:hAnsi="Arial"/>
              </w:rPr>
              <w:t>3 </w:t>
            </w:r>
            <w:r w:rsidR="00D55005" w:rsidRPr="00F90D20">
              <w:rPr>
                <w:rFonts w:ascii="Arial" w:hAnsi="Arial"/>
              </w:rPr>
              <w:t>b</w:t>
            </w:r>
            <w:r w:rsidRPr="00F90D20">
              <w:rPr>
                <w:rFonts w:ascii="Arial" w:hAnsi="Arial"/>
              </w:rPr>
              <w:t>illion</w:t>
            </w:r>
          </w:p>
        </w:tc>
      </w:tr>
      <w:tr w:rsidR="00026A52" w:rsidRPr="00F90D20" w:rsidTr="009F0FF4">
        <w:tc>
          <w:tcPr>
            <w:tcW w:w="5046" w:type="dxa"/>
          </w:tcPr>
          <w:p w:rsidR="00026A52" w:rsidRPr="00F90D20" w:rsidRDefault="00385F71" w:rsidP="002F27A9">
            <w:pPr>
              <w:pStyle w:val="tabletextalluvium"/>
              <w:ind w:hanging="851"/>
              <w:rPr>
                <w:rFonts w:ascii="Arial" w:hAnsi="Arial"/>
              </w:rPr>
            </w:pPr>
            <w:r w:rsidRPr="00F90D20">
              <w:rPr>
                <w:rFonts w:ascii="Arial" w:hAnsi="Arial"/>
              </w:rPr>
              <w:t xml:space="preserve">– </w:t>
            </w:r>
            <w:r w:rsidR="00026A52" w:rsidRPr="00F90D20">
              <w:rPr>
                <w:rFonts w:ascii="Arial" w:hAnsi="Arial"/>
              </w:rPr>
              <w:t>Tourism</w:t>
            </w:r>
            <w:r w:rsidR="00B50D7D" w:rsidRPr="00F90D20">
              <w:rPr>
                <w:rFonts w:ascii="Arial" w:hAnsi="Arial"/>
              </w:rPr>
              <w:t>-</w:t>
            </w:r>
            <w:r w:rsidR="00026A52" w:rsidRPr="00F90D20">
              <w:rPr>
                <w:rFonts w:ascii="Arial" w:hAnsi="Arial"/>
              </w:rPr>
              <w:t>related expenditure</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$3.</w:t>
            </w:r>
            <w:r w:rsidR="0047106F" w:rsidRPr="00F90D20">
              <w:rPr>
                <w:rFonts w:ascii="Arial" w:hAnsi="Arial"/>
              </w:rPr>
              <w:t>8 </w:t>
            </w:r>
            <w:r w:rsidR="00D55005" w:rsidRPr="00F90D20">
              <w:rPr>
                <w:rFonts w:ascii="Arial" w:hAnsi="Arial"/>
              </w:rPr>
              <w:t>b</w:t>
            </w:r>
            <w:r w:rsidRPr="00F90D20">
              <w:rPr>
                <w:rFonts w:ascii="Arial" w:hAnsi="Arial"/>
              </w:rPr>
              <w:t>illion</w:t>
            </w:r>
          </w:p>
        </w:tc>
      </w:tr>
      <w:tr w:rsidR="00026A52" w:rsidRPr="00F90D20" w:rsidTr="009F0FF4">
        <w:tc>
          <w:tcPr>
            <w:tcW w:w="5046" w:type="dxa"/>
          </w:tcPr>
          <w:p w:rsidR="00026A52" w:rsidRPr="00F90D20" w:rsidRDefault="00385F71" w:rsidP="002F27A9">
            <w:pPr>
              <w:pStyle w:val="tabletextalluvium"/>
              <w:rPr>
                <w:rFonts w:ascii="Arial" w:hAnsi="Arial"/>
              </w:rPr>
            </w:pPr>
            <w:r w:rsidRPr="00F90D20">
              <w:rPr>
                <w:rFonts w:ascii="Arial" w:hAnsi="Arial"/>
              </w:rPr>
              <w:t xml:space="preserve">– </w:t>
            </w:r>
            <w:r w:rsidR="00026A52" w:rsidRPr="00F90D20">
              <w:rPr>
                <w:rFonts w:ascii="Arial" w:hAnsi="Arial"/>
              </w:rPr>
              <w:t>All other expenditure</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$4.</w:t>
            </w:r>
            <w:r w:rsidR="00D55005" w:rsidRPr="00F90D20">
              <w:rPr>
                <w:rFonts w:ascii="Arial" w:hAnsi="Arial"/>
              </w:rPr>
              <w:t>5 b</w:t>
            </w:r>
            <w:r w:rsidRPr="00F90D20">
              <w:rPr>
                <w:rFonts w:ascii="Arial" w:hAnsi="Arial"/>
              </w:rPr>
              <w:t>illion</w:t>
            </w:r>
          </w:p>
        </w:tc>
      </w:tr>
      <w:tr w:rsidR="00026A52" w:rsidRPr="00F90D20" w:rsidTr="009F0FF4">
        <w:tc>
          <w:tcPr>
            <w:tcW w:w="5046" w:type="dxa"/>
          </w:tcPr>
          <w:p w:rsidR="00026A52" w:rsidRPr="00F90D20" w:rsidRDefault="00026A52" w:rsidP="002F27A9">
            <w:pPr>
              <w:pStyle w:val="tabletextalluvium"/>
              <w:rPr>
                <w:rFonts w:ascii="Arial" w:hAnsi="Arial"/>
              </w:rPr>
            </w:pPr>
            <w:r w:rsidRPr="00F90D20">
              <w:rPr>
                <w:rFonts w:ascii="Arial" w:hAnsi="Arial"/>
              </w:rPr>
              <w:t>Gross value</w:t>
            </w:r>
            <w:r w:rsidR="00B50D7D" w:rsidRPr="00F90D20">
              <w:rPr>
                <w:rFonts w:ascii="Arial" w:hAnsi="Arial"/>
              </w:rPr>
              <w:t xml:space="preserve"> </w:t>
            </w:r>
            <w:r w:rsidRPr="00F90D20">
              <w:rPr>
                <w:rFonts w:ascii="Arial" w:hAnsi="Arial"/>
              </w:rPr>
              <w:t xml:space="preserve">added in </w:t>
            </w:r>
            <w:r w:rsidR="006461E5" w:rsidRPr="00F90D20">
              <w:rPr>
                <w:rFonts w:ascii="Arial" w:hAnsi="Arial"/>
              </w:rPr>
              <w:t>2017</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w:t>
            </w:r>
            <w:r w:rsidR="0047106F" w:rsidRPr="00F90D20">
              <w:rPr>
                <w:rFonts w:ascii="Arial" w:hAnsi="Arial"/>
              </w:rPr>
              <w:t>8.1</w:t>
            </w:r>
            <w:r w:rsidR="00D55005" w:rsidRPr="00F90D20">
              <w:rPr>
                <w:rFonts w:ascii="Arial" w:hAnsi="Arial"/>
              </w:rPr>
              <w:t> b</w:t>
            </w:r>
            <w:r w:rsidRPr="00F90D20">
              <w:rPr>
                <w:rFonts w:ascii="Arial" w:hAnsi="Arial"/>
              </w:rPr>
              <w:t>illion</w:t>
            </w:r>
          </w:p>
        </w:tc>
      </w:tr>
      <w:tr w:rsidR="00026A52" w:rsidRPr="00F90D20" w:rsidTr="009F0FF4">
        <w:tc>
          <w:tcPr>
            <w:tcW w:w="5046" w:type="dxa"/>
          </w:tcPr>
          <w:p w:rsidR="00026A52" w:rsidRPr="00F90D20" w:rsidRDefault="00385F71" w:rsidP="002F27A9">
            <w:pPr>
              <w:pStyle w:val="tabletextalluvium"/>
              <w:rPr>
                <w:rFonts w:ascii="Arial" w:hAnsi="Arial"/>
              </w:rPr>
            </w:pPr>
            <w:r w:rsidRPr="00F90D20">
              <w:rPr>
                <w:rFonts w:ascii="Arial" w:hAnsi="Arial"/>
              </w:rPr>
              <w:t xml:space="preserve">– </w:t>
            </w:r>
            <w:r w:rsidR="00026A52" w:rsidRPr="00F90D20">
              <w:rPr>
                <w:rFonts w:ascii="Arial" w:hAnsi="Arial"/>
              </w:rPr>
              <w:t>Direct</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w:t>
            </w:r>
            <w:r w:rsidR="00F648B9" w:rsidRPr="00F90D20">
              <w:rPr>
                <w:rFonts w:ascii="Arial" w:hAnsi="Arial"/>
              </w:rPr>
              <w:t>5.</w:t>
            </w:r>
            <w:r w:rsidR="0047106F" w:rsidRPr="00F90D20">
              <w:rPr>
                <w:rFonts w:ascii="Arial" w:hAnsi="Arial"/>
              </w:rPr>
              <w:t>2 </w:t>
            </w:r>
            <w:r w:rsidR="00D55005" w:rsidRPr="00F90D20">
              <w:rPr>
                <w:rFonts w:ascii="Arial" w:hAnsi="Arial"/>
              </w:rPr>
              <w:t>b</w:t>
            </w:r>
            <w:r w:rsidRPr="00F90D20">
              <w:rPr>
                <w:rFonts w:ascii="Arial" w:hAnsi="Arial"/>
              </w:rPr>
              <w:t>illion</w:t>
            </w:r>
          </w:p>
        </w:tc>
      </w:tr>
      <w:tr w:rsidR="00026A52" w:rsidRPr="00F90D20" w:rsidTr="009F0FF4">
        <w:trPr>
          <w:trHeight w:val="101"/>
        </w:trPr>
        <w:tc>
          <w:tcPr>
            <w:tcW w:w="5046" w:type="dxa"/>
          </w:tcPr>
          <w:p w:rsidR="00026A52" w:rsidRPr="00F90D20" w:rsidRDefault="00385F71" w:rsidP="002F27A9">
            <w:pPr>
              <w:pStyle w:val="tabletextalluvium"/>
              <w:rPr>
                <w:rFonts w:ascii="Arial" w:hAnsi="Arial"/>
              </w:rPr>
            </w:pPr>
            <w:r w:rsidRPr="00F90D20">
              <w:rPr>
                <w:rFonts w:ascii="Arial" w:hAnsi="Arial"/>
              </w:rPr>
              <w:t xml:space="preserve">– </w:t>
            </w:r>
            <w:r w:rsidR="00026A52" w:rsidRPr="00F90D20">
              <w:rPr>
                <w:rFonts w:ascii="Arial" w:hAnsi="Arial"/>
              </w:rPr>
              <w:t>Indirect</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$2.</w:t>
            </w:r>
            <w:r w:rsidR="00D55005" w:rsidRPr="00F90D20">
              <w:rPr>
                <w:rFonts w:ascii="Arial" w:hAnsi="Arial"/>
              </w:rPr>
              <w:t>9 b</w:t>
            </w:r>
            <w:r w:rsidR="00231EC7" w:rsidRPr="00F90D20">
              <w:rPr>
                <w:rFonts w:ascii="Arial" w:hAnsi="Arial"/>
              </w:rPr>
              <w:t>illio</w:t>
            </w:r>
            <w:r w:rsidRPr="00F90D20">
              <w:rPr>
                <w:rFonts w:ascii="Arial" w:hAnsi="Arial"/>
              </w:rPr>
              <w:t>n</w:t>
            </w:r>
          </w:p>
        </w:tc>
      </w:tr>
      <w:tr w:rsidR="00026A52" w:rsidRPr="00F90D20" w:rsidTr="009F0FF4">
        <w:tc>
          <w:tcPr>
            <w:tcW w:w="5046" w:type="dxa"/>
          </w:tcPr>
          <w:p w:rsidR="00026A52" w:rsidRPr="00F90D20" w:rsidRDefault="00026A52" w:rsidP="002F27A9">
            <w:pPr>
              <w:pStyle w:val="tabletextalluvium"/>
              <w:rPr>
                <w:rFonts w:ascii="Arial" w:hAnsi="Arial"/>
              </w:rPr>
            </w:pPr>
            <w:r w:rsidRPr="00F90D20">
              <w:rPr>
                <w:rFonts w:ascii="Arial" w:hAnsi="Arial"/>
              </w:rPr>
              <w:t>F</w:t>
            </w:r>
            <w:r w:rsidR="00B50D7D" w:rsidRPr="00F90D20">
              <w:rPr>
                <w:rFonts w:ascii="Arial" w:hAnsi="Arial"/>
              </w:rPr>
              <w:t>ull-time equivalent jobs</w:t>
            </w:r>
            <w:r w:rsidRPr="00F90D20">
              <w:rPr>
                <w:rFonts w:ascii="Arial" w:hAnsi="Arial"/>
              </w:rPr>
              <w:t xml:space="preserve"> in </w:t>
            </w:r>
            <w:r w:rsidR="006461E5" w:rsidRPr="00F90D20">
              <w:rPr>
                <w:rFonts w:ascii="Arial" w:hAnsi="Arial"/>
              </w:rPr>
              <w:t xml:space="preserve">2017 </w:t>
            </w:r>
          </w:p>
        </w:tc>
        <w:tc>
          <w:tcPr>
            <w:tcW w:w="1475" w:type="dxa"/>
            <w:vAlign w:val="bottom"/>
          </w:tcPr>
          <w:p w:rsidR="00026A52" w:rsidRPr="00F90D20" w:rsidRDefault="0047106F" w:rsidP="002F27A9">
            <w:pPr>
              <w:pStyle w:val="tabletextalluvium"/>
              <w:rPr>
                <w:rFonts w:ascii="Arial" w:hAnsi="Arial"/>
              </w:rPr>
            </w:pPr>
            <w:r w:rsidRPr="00F90D20">
              <w:rPr>
                <w:rFonts w:ascii="Arial" w:hAnsi="Arial"/>
              </w:rPr>
              <w:t>51</w:t>
            </w:r>
            <w:r w:rsidR="00026A52" w:rsidRPr="00F90D20">
              <w:rPr>
                <w:rFonts w:ascii="Arial" w:hAnsi="Arial"/>
              </w:rPr>
              <w:t>,</w:t>
            </w:r>
            <w:r w:rsidR="005F3037" w:rsidRPr="00F90D20">
              <w:rPr>
                <w:rFonts w:ascii="Arial" w:hAnsi="Arial"/>
              </w:rPr>
              <w:t>0</w:t>
            </w:r>
            <w:r w:rsidRPr="00F90D20">
              <w:rPr>
                <w:rFonts w:ascii="Arial" w:hAnsi="Arial"/>
              </w:rPr>
              <w:t>00</w:t>
            </w:r>
          </w:p>
        </w:tc>
      </w:tr>
      <w:tr w:rsidR="00026A52" w:rsidRPr="00F90D20" w:rsidTr="009F0FF4">
        <w:tc>
          <w:tcPr>
            <w:tcW w:w="5046" w:type="dxa"/>
          </w:tcPr>
          <w:p w:rsidR="00026A52" w:rsidRPr="00F90D20" w:rsidRDefault="00385F71" w:rsidP="002F27A9">
            <w:pPr>
              <w:pStyle w:val="tabletextalluvium"/>
              <w:rPr>
                <w:rFonts w:ascii="Arial" w:hAnsi="Arial"/>
              </w:rPr>
            </w:pPr>
            <w:r w:rsidRPr="00F90D20">
              <w:rPr>
                <w:rFonts w:ascii="Arial" w:hAnsi="Arial"/>
              </w:rPr>
              <w:t xml:space="preserve">– </w:t>
            </w:r>
            <w:r w:rsidR="00026A52" w:rsidRPr="00F90D20">
              <w:rPr>
                <w:rFonts w:ascii="Arial" w:hAnsi="Arial"/>
              </w:rPr>
              <w:t>Direct</w:t>
            </w:r>
          </w:p>
        </w:tc>
        <w:tc>
          <w:tcPr>
            <w:tcW w:w="1475" w:type="dxa"/>
            <w:vAlign w:val="bottom"/>
          </w:tcPr>
          <w:p w:rsidR="00026A52" w:rsidRPr="00F90D20" w:rsidRDefault="0047106F" w:rsidP="002F27A9">
            <w:pPr>
              <w:pStyle w:val="tabletextalluvium"/>
              <w:rPr>
                <w:rFonts w:ascii="Arial" w:hAnsi="Arial"/>
              </w:rPr>
            </w:pPr>
            <w:r w:rsidRPr="00F90D20">
              <w:rPr>
                <w:rFonts w:ascii="Arial" w:hAnsi="Arial"/>
              </w:rPr>
              <w:t>39</w:t>
            </w:r>
            <w:r w:rsidR="00026A52" w:rsidRPr="00F90D20">
              <w:rPr>
                <w:rFonts w:ascii="Arial" w:hAnsi="Arial"/>
              </w:rPr>
              <w:t>,</w:t>
            </w:r>
            <w:r w:rsidRPr="00F90D20">
              <w:rPr>
                <w:rFonts w:ascii="Arial" w:hAnsi="Arial"/>
              </w:rPr>
              <w:t>400</w:t>
            </w:r>
          </w:p>
        </w:tc>
      </w:tr>
      <w:tr w:rsidR="00026A52" w:rsidRPr="00F90D20" w:rsidTr="009F0FF4">
        <w:tc>
          <w:tcPr>
            <w:tcW w:w="5046" w:type="dxa"/>
          </w:tcPr>
          <w:p w:rsidR="00026A52" w:rsidRPr="00F90D20" w:rsidRDefault="00385F71" w:rsidP="002F27A9">
            <w:pPr>
              <w:pStyle w:val="tabletextalluvium"/>
              <w:rPr>
                <w:rFonts w:ascii="Arial" w:hAnsi="Arial"/>
              </w:rPr>
            </w:pPr>
            <w:r w:rsidRPr="00F90D20">
              <w:rPr>
                <w:rFonts w:ascii="Arial" w:hAnsi="Arial"/>
              </w:rPr>
              <w:t xml:space="preserve">– </w:t>
            </w:r>
            <w:r w:rsidR="00026A52" w:rsidRPr="00F90D20">
              <w:rPr>
                <w:rFonts w:ascii="Arial" w:hAnsi="Arial"/>
              </w:rPr>
              <w:t>Indirect</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11,</w:t>
            </w:r>
            <w:r w:rsidR="0047106F" w:rsidRPr="00F90D20">
              <w:rPr>
                <w:rFonts w:ascii="Arial" w:hAnsi="Arial"/>
              </w:rPr>
              <w:t>600</w:t>
            </w:r>
          </w:p>
        </w:tc>
      </w:tr>
      <w:tr w:rsidR="00026A52" w:rsidRPr="00F90D20" w:rsidTr="009F0FF4">
        <w:tc>
          <w:tcPr>
            <w:tcW w:w="5046" w:type="dxa"/>
          </w:tcPr>
          <w:p w:rsidR="00026A52" w:rsidRPr="00F90D20" w:rsidRDefault="00026A52" w:rsidP="002F27A9">
            <w:pPr>
              <w:pStyle w:val="tabletextalluvium"/>
              <w:rPr>
                <w:rFonts w:ascii="Arial" w:hAnsi="Arial"/>
              </w:rPr>
            </w:pPr>
            <w:r w:rsidRPr="00F90D20">
              <w:rPr>
                <w:rFonts w:ascii="Arial" w:hAnsi="Arial"/>
              </w:rPr>
              <w:t>Recreation value (consumer surplus per year</w:t>
            </w:r>
            <w:r w:rsidR="00B50D7D" w:rsidRPr="00F90D20">
              <w:rPr>
                <w:rFonts w:ascii="Arial" w:hAnsi="Arial"/>
              </w:rPr>
              <w:t>, $ 201</w:t>
            </w:r>
            <w:r w:rsidR="001E5E19" w:rsidRPr="00F90D20">
              <w:rPr>
                <w:rFonts w:ascii="Arial" w:hAnsi="Arial"/>
              </w:rPr>
              <w:t>7</w:t>
            </w:r>
            <w:r w:rsidRPr="00F90D20">
              <w:rPr>
                <w:rFonts w:ascii="Arial" w:hAnsi="Arial"/>
              </w:rPr>
              <w:t>)</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$3.</w:t>
            </w:r>
            <w:r w:rsidR="0047106F" w:rsidRPr="00F90D20">
              <w:rPr>
                <w:rFonts w:ascii="Arial" w:hAnsi="Arial"/>
              </w:rPr>
              <w:t>8 </w:t>
            </w:r>
            <w:r w:rsidR="00D55005" w:rsidRPr="00F90D20">
              <w:rPr>
                <w:rFonts w:ascii="Arial" w:hAnsi="Arial"/>
              </w:rPr>
              <w:t>b</w:t>
            </w:r>
            <w:r w:rsidRPr="00F90D20">
              <w:rPr>
                <w:rFonts w:ascii="Arial" w:hAnsi="Arial"/>
              </w:rPr>
              <w:t>illion</w:t>
            </w:r>
          </w:p>
        </w:tc>
      </w:tr>
      <w:tr w:rsidR="00026A52" w:rsidRPr="00F90D20" w:rsidTr="009F0FF4">
        <w:tc>
          <w:tcPr>
            <w:tcW w:w="5046" w:type="dxa"/>
          </w:tcPr>
          <w:p w:rsidR="00026A52" w:rsidRPr="00F90D20" w:rsidRDefault="00026A52" w:rsidP="002F27A9">
            <w:pPr>
              <w:pStyle w:val="tabletextalluvium"/>
              <w:rPr>
                <w:rFonts w:ascii="Arial" w:hAnsi="Arial"/>
              </w:rPr>
            </w:pPr>
            <w:r w:rsidRPr="00F90D20">
              <w:rPr>
                <w:rFonts w:ascii="Arial" w:hAnsi="Arial"/>
              </w:rPr>
              <w:t>Lifetime impact of becoming physically active in Victorian 15+ population</w:t>
            </w:r>
          </w:p>
        </w:tc>
        <w:tc>
          <w:tcPr>
            <w:tcW w:w="1475" w:type="dxa"/>
            <w:vAlign w:val="bottom"/>
          </w:tcPr>
          <w:p w:rsidR="00026A52" w:rsidRPr="00F90D20" w:rsidRDefault="00026A52" w:rsidP="002F27A9">
            <w:pPr>
              <w:pStyle w:val="tabletextalluvium"/>
              <w:rPr>
                <w:rFonts w:ascii="Arial" w:hAnsi="Arial"/>
              </w:rPr>
            </w:pPr>
          </w:p>
        </w:tc>
      </w:tr>
      <w:tr w:rsidR="00026A52" w:rsidRPr="00F90D20" w:rsidTr="009F0FF4">
        <w:tc>
          <w:tcPr>
            <w:tcW w:w="5046" w:type="dxa"/>
          </w:tcPr>
          <w:p w:rsidR="00026A52" w:rsidRPr="00F90D20" w:rsidRDefault="00026A52" w:rsidP="002F27A9">
            <w:pPr>
              <w:pStyle w:val="tabletextalluvium"/>
              <w:rPr>
                <w:rFonts w:ascii="Arial" w:hAnsi="Arial"/>
              </w:rPr>
            </w:pPr>
            <w:r w:rsidRPr="00F90D20">
              <w:rPr>
                <w:rFonts w:ascii="Arial" w:hAnsi="Arial"/>
              </w:rPr>
              <w:t>Avoided healthcare costs ($</w:t>
            </w:r>
            <w:r w:rsidR="00B50D7D" w:rsidRPr="00F90D20">
              <w:rPr>
                <w:rFonts w:ascii="Arial" w:hAnsi="Arial"/>
              </w:rPr>
              <w:t xml:space="preserve"> </w:t>
            </w:r>
            <w:r w:rsidRPr="00F90D20">
              <w:rPr>
                <w:rFonts w:ascii="Arial" w:hAnsi="Arial"/>
              </w:rPr>
              <w:t>2016</w:t>
            </w:r>
            <w:r w:rsidR="00B50D7D" w:rsidRPr="00F90D20">
              <w:rPr>
                <w:rFonts w:ascii="Arial" w:hAnsi="Arial"/>
              </w:rPr>
              <w:t>,</w:t>
            </w:r>
            <w:r w:rsidRPr="00F90D20">
              <w:rPr>
                <w:rFonts w:ascii="Arial" w:hAnsi="Arial"/>
              </w:rPr>
              <w:t xml:space="preserve"> one</w:t>
            </w:r>
            <w:r w:rsidR="00B50D7D" w:rsidRPr="00F90D20">
              <w:rPr>
                <w:rFonts w:ascii="Arial" w:hAnsi="Arial"/>
              </w:rPr>
              <w:t>-</w:t>
            </w:r>
            <w:r w:rsidRPr="00F90D20">
              <w:rPr>
                <w:rFonts w:ascii="Arial" w:hAnsi="Arial"/>
              </w:rPr>
              <w:t xml:space="preserve">off) </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$24</w:t>
            </w:r>
            <w:r w:rsidR="00D55005" w:rsidRPr="00F90D20">
              <w:rPr>
                <w:rFonts w:ascii="Arial" w:hAnsi="Arial"/>
              </w:rPr>
              <w:t>5 m</w:t>
            </w:r>
            <w:r w:rsidRPr="00F90D20">
              <w:rPr>
                <w:rFonts w:ascii="Arial" w:hAnsi="Arial"/>
              </w:rPr>
              <w:t>illion</w:t>
            </w:r>
          </w:p>
        </w:tc>
      </w:tr>
      <w:tr w:rsidR="00026A52" w:rsidRPr="00F90D20" w:rsidTr="009F0FF4">
        <w:tc>
          <w:tcPr>
            <w:tcW w:w="5046" w:type="dxa"/>
          </w:tcPr>
          <w:p w:rsidR="00026A52" w:rsidRPr="00F90D20" w:rsidRDefault="00026A52" w:rsidP="002F27A9">
            <w:pPr>
              <w:pStyle w:val="tabletextalluvium"/>
              <w:rPr>
                <w:rFonts w:ascii="Arial" w:hAnsi="Arial"/>
              </w:rPr>
            </w:pPr>
            <w:r w:rsidRPr="00F90D20">
              <w:rPr>
                <w:rFonts w:ascii="Arial" w:hAnsi="Arial"/>
              </w:rPr>
              <w:t>Work</w:t>
            </w:r>
            <w:r w:rsidR="006766DC" w:rsidRPr="00F90D20">
              <w:rPr>
                <w:rFonts w:ascii="Arial" w:hAnsi="Arial"/>
              </w:rPr>
              <w:t>force</w:t>
            </w:r>
            <w:r w:rsidRPr="00F90D20">
              <w:rPr>
                <w:rFonts w:ascii="Arial" w:hAnsi="Arial"/>
              </w:rPr>
              <w:t xml:space="preserve"> labour production benefits (one</w:t>
            </w:r>
            <w:r w:rsidR="00B50D7D" w:rsidRPr="00F90D20">
              <w:rPr>
                <w:rFonts w:ascii="Arial" w:hAnsi="Arial"/>
              </w:rPr>
              <w:t>-</w:t>
            </w:r>
            <w:r w:rsidRPr="00F90D20">
              <w:rPr>
                <w:rFonts w:ascii="Arial" w:hAnsi="Arial"/>
              </w:rPr>
              <w:t>off</w:t>
            </w:r>
            <w:r w:rsidR="009B30C9" w:rsidRPr="00F90D20">
              <w:rPr>
                <w:rFonts w:ascii="Arial" w:hAnsi="Arial"/>
              </w:rPr>
              <w:t xml:space="preserve">, </w:t>
            </w:r>
            <w:r w:rsidR="00385F71" w:rsidRPr="00F90D20">
              <w:rPr>
                <w:rFonts w:ascii="Arial" w:hAnsi="Arial"/>
              </w:rPr>
              <w:t xml:space="preserve">human capital </w:t>
            </w:r>
            <w:r w:rsidR="009B30C9" w:rsidRPr="00F90D20">
              <w:rPr>
                <w:rFonts w:ascii="Arial" w:hAnsi="Arial"/>
              </w:rPr>
              <w:t>approach</w:t>
            </w:r>
            <w:r w:rsidR="00B50D7D" w:rsidRPr="00F90D20">
              <w:rPr>
                <w:rFonts w:ascii="Arial" w:hAnsi="Arial"/>
              </w:rPr>
              <w:t xml:space="preserve">, </w:t>
            </w:r>
            <w:r w:rsidRPr="00F90D20">
              <w:rPr>
                <w:rFonts w:ascii="Arial" w:hAnsi="Arial"/>
              </w:rPr>
              <w:t>$</w:t>
            </w:r>
            <w:r w:rsidR="00B50D7D" w:rsidRPr="00F90D20">
              <w:rPr>
                <w:rFonts w:ascii="Arial" w:hAnsi="Arial"/>
              </w:rPr>
              <w:t> </w:t>
            </w:r>
            <w:r w:rsidRPr="00F90D20">
              <w:rPr>
                <w:rFonts w:ascii="Arial" w:hAnsi="Arial"/>
              </w:rPr>
              <w:t>2016)</w:t>
            </w:r>
          </w:p>
        </w:tc>
        <w:tc>
          <w:tcPr>
            <w:tcW w:w="1475" w:type="dxa"/>
            <w:vAlign w:val="bottom"/>
          </w:tcPr>
          <w:p w:rsidR="00026A52" w:rsidRPr="00F90D20" w:rsidRDefault="00026A52" w:rsidP="002F27A9">
            <w:pPr>
              <w:pStyle w:val="tabletextalluvium"/>
              <w:rPr>
                <w:rFonts w:ascii="Arial" w:hAnsi="Arial"/>
              </w:rPr>
            </w:pPr>
            <w:r w:rsidRPr="00F90D20">
              <w:rPr>
                <w:rFonts w:ascii="Arial" w:hAnsi="Arial"/>
              </w:rPr>
              <w:t>$3.</w:t>
            </w:r>
            <w:r w:rsidR="00D55005" w:rsidRPr="00F90D20">
              <w:rPr>
                <w:rFonts w:ascii="Arial" w:hAnsi="Arial"/>
              </w:rPr>
              <w:t>1 b</w:t>
            </w:r>
            <w:r w:rsidRPr="00F90D20">
              <w:rPr>
                <w:rFonts w:ascii="Arial" w:hAnsi="Arial"/>
              </w:rPr>
              <w:t>illion</w:t>
            </w:r>
          </w:p>
        </w:tc>
      </w:tr>
      <w:tr w:rsidR="006766DC" w:rsidRPr="00F90D20" w:rsidTr="009F0FF4">
        <w:tc>
          <w:tcPr>
            <w:tcW w:w="5046" w:type="dxa"/>
          </w:tcPr>
          <w:p w:rsidR="006766DC" w:rsidRPr="00F90D20" w:rsidRDefault="006766DC" w:rsidP="002F27A9">
            <w:pPr>
              <w:pStyle w:val="tabletextalluvium"/>
              <w:rPr>
                <w:rFonts w:ascii="Arial" w:hAnsi="Arial"/>
              </w:rPr>
            </w:pPr>
            <w:r w:rsidRPr="00F90D20">
              <w:rPr>
                <w:rFonts w:ascii="Arial" w:hAnsi="Arial"/>
              </w:rPr>
              <w:t>Home</w:t>
            </w:r>
            <w:r w:rsidR="00B50D7D" w:rsidRPr="00F90D20">
              <w:rPr>
                <w:rFonts w:ascii="Arial" w:hAnsi="Arial"/>
              </w:rPr>
              <w:t>-</w:t>
            </w:r>
            <w:r w:rsidRPr="00F90D20">
              <w:rPr>
                <w:rFonts w:ascii="Arial" w:hAnsi="Arial"/>
              </w:rPr>
              <w:t>based labour production benefits (one</w:t>
            </w:r>
            <w:r w:rsidR="00B50D7D" w:rsidRPr="00F90D20">
              <w:rPr>
                <w:rFonts w:ascii="Arial" w:hAnsi="Arial"/>
              </w:rPr>
              <w:t>-</w:t>
            </w:r>
            <w:r w:rsidRPr="00F90D20">
              <w:rPr>
                <w:rFonts w:ascii="Arial" w:hAnsi="Arial"/>
              </w:rPr>
              <w:t>off)</w:t>
            </w:r>
          </w:p>
        </w:tc>
        <w:tc>
          <w:tcPr>
            <w:tcW w:w="1475" w:type="dxa"/>
            <w:vAlign w:val="bottom"/>
          </w:tcPr>
          <w:p w:rsidR="006766DC" w:rsidRPr="00F90D20" w:rsidRDefault="006766DC" w:rsidP="002F27A9">
            <w:pPr>
              <w:pStyle w:val="tabletextalluvium"/>
              <w:rPr>
                <w:rFonts w:ascii="Arial" w:hAnsi="Arial"/>
              </w:rPr>
            </w:pPr>
            <w:r w:rsidRPr="00F90D20">
              <w:rPr>
                <w:rFonts w:ascii="Arial" w:hAnsi="Arial"/>
              </w:rPr>
              <w:t>$12</w:t>
            </w:r>
            <w:r w:rsidR="00D55005" w:rsidRPr="00F90D20">
              <w:rPr>
                <w:rFonts w:ascii="Arial" w:hAnsi="Arial"/>
              </w:rPr>
              <w:t>5 m</w:t>
            </w:r>
            <w:r w:rsidRPr="00F90D20">
              <w:rPr>
                <w:rFonts w:ascii="Arial" w:hAnsi="Arial"/>
              </w:rPr>
              <w:t>illion</w:t>
            </w:r>
          </w:p>
        </w:tc>
      </w:tr>
    </w:tbl>
    <w:p w:rsidR="00205849" w:rsidRPr="00500F57" w:rsidRDefault="00205849" w:rsidP="002F27A9">
      <w:pPr>
        <w:pStyle w:val="Heading2"/>
      </w:pPr>
      <w:r w:rsidRPr="00500F57">
        <w:t>Next steps</w:t>
      </w:r>
    </w:p>
    <w:p w:rsidR="00FB6026" w:rsidRPr="00500F57" w:rsidRDefault="00FB6026" w:rsidP="002F27A9">
      <w:r w:rsidRPr="00500F57">
        <w:t>This repor</w:t>
      </w:r>
      <w:r w:rsidR="005404CC" w:rsidRPr="00500F57">
        <w:t>t shows that Victoria’s active</w:t>
      </w:r>
      <w:r w:rsidRPr="00500F57">
        <w:t xml:space="preserve"> recreation sector is an important part of the Victorian economy, and </w:t>
      </w:r>
      <w:r w:rsidR="00385F71">
        <w:t xml:space="preserve">is </w:t>
      </w:r>
      <w:r w:rsidRPr="00500F57">
        <w:t xml:space="preserve">likely </w:t>
      </w:r>
      <w:r w:rsidR="00385F71">
        <w:t xml:space="preserve">to </w:t>
      </w:r>
      <w:r w:rsidRPr="00500F57">
        <w:t>make</w:t>
      </w:r>
      <w:r w:rsidR="00385F71">
        <w:t xml:space="preserve"> </w:t>
      </w:r>
      <w:r w:rsidRPr="00500F57">
        <w:t>far more of a contribution to Victorians’ wellbeing and communit</w:t>
      </w:r>
      <w:r w:rsidR="00385F71">
        <w:t>ies</w:t>
      </w:r>
      <w:r w:rsidRPr="00500F57">
        <w:t xml:space="preserve"> than many of us realise.</w:t>
      </w:r>
    </w:p>
    <w:p w:rsidR="00D55005" w:rsidRPr="00500F57" w:rsidRDefault="00FB6026" w:rsidP="002F27A9">
      <w:r w:rsidRPr="00500F57">
        <w:t xml:space="preserve">Many of the estimates in this report are approximations </w:t>
      </w:r>
      <w:r w:rsidR="005404CC" w:rsidRPr="00500F57">
        <w:t>based</w:t>
      </w:r>
      <w:r w:rsidRPr="00500F57">
        <w:t xml:space="preserve"> on </w:t>
      </w:r>
      <w:r w:rsidR="00385F71">
        <w:t xml:space="preserve">the </w:t>
      </w:r>
      <w:r w:rsidRPr="00500F57">
        <w:t>best</w:t>
      </w:r>
      <w:r w:rsidR="00385F71">
        <w:t xml:space="preserve"> </w:t>
      </w:r>
      <w:r w:rsidRPr="00500F57">
        <w:t xml:space="preserve">available data. Our main aim has been to present order of magnitude estimates of the economic and welfare contribution of Victoria’s active recreation sector to our community, based </w:t>
      </w:r>
      <w:r w:rsidR="00385F71">
        <w:t>that evidence</w:t>
      </w:r>
      <w:r w:rsidRPr="00500F57">
        <w:t>.</w:t>
      </w:r>
    </w:p>
    <w:p w:rsidR="00FB6026" w:rsidRPr="00500F57" w:rsidRDefault="00FB6026" w:rsidP="002F27A9">
      <w:r w:rsidRPr="00500F57">
        <w:lastRenderedPageBreak/>
        <w:t>Further work is needed to narrow and strengthen the estimates in this report, and to develop a consensus approach for evaluating the contribution of Victoria’s active recreation sector</w:t>
      </w:r>
      <w:r w:rsidR="00385F71">
        <w:t xml:space="preserve"> in the future</w:t>
      </w:r>
      <w:r w:rsidRPr="00500F57">
        <w:t>.</w:t>
      </w:r>
      <w:r w:rsidR="00D55005" w:rsidRPr="00500F57">
        <w:t xml:space="preserve"> </w:t>
      </w:r>
      <w:r w:rsidRPr="00500F57">
        <w:t xml:space="preserve">This view is consistent with the recommendation we made </w:t>
      </w:r>
      <w:r w:rsidRPr="00354B7C">
        <w:t xml:space="preserve">in </w:t>
      </w:r>
      <w:r w:rsidRPr="00DC426F">
        <w:t>our recent work for Outdoors Victoria</w:t>
      </w:r>
      <w:r w:rsidR="00354B7C">
        <w:t xml:space="preserve"> (MJA, 2016)</w:t>
      </w:r>
      <w:r w:rsidRPr="00354B7C">
        <w:t>.</w:t>
      </w:r>
      <w:r w:rsidR="00D55005" w:rsidRPr="00500F57">
        <w:t xml:space="preserve"> </w:t>
      </w:r>
      <w:r w:rsidRPr="00500F57">
        <w:t>In particular</w:t>
      </w:r>
      <w:r w:rsidR="00231EC7" w:rsidRPr="00500F57">
        <w:t>,</w:t>
      </w:r>
      <w:r w:rsidRPr="00500F57">
        <w:t xml:space="preserve"> </w:t>
      </w:r>
      <w:r w:rsidR="00385F71">
        <w:t xml:space="preserve">we should do </w:t>
      </w:r>
      <w:r w:rsidR="00653DC2">
        <w:t xml:space="preserve">four </w:t>
      </w:r>
      <w:r w:rsidR="00385F71">
        <w:t xml:space="preserve"> things</w:t>
      </w:r>
      <w:r w:rsidRPr="00500F57">
        <w:t>:</w:t>
      </w:r>
    </w:p>
    <w:p w:rsidR="00D55005" w:rsidRPr="00E705D3" w:rsidRDefault="00FB6026" w:rsidP="002F27A9">
      <w:pPr>
        <w:pStyle w:val="ListParagraph"/>
      </w:pPr>
      <w:r w:rsidRPr="00E705D3">
        <w:rPr>
          <w:b/>
        </w:rPr>
        <w:t>Close data and knowledge gaps:</w:t>
      </w:r>
      <w:r w:rsidR="00D55005" w:rsidRPr="00E705D3">
        <w:t xml:space="preserve"> </w:t>
      </w:r>
      <w:r w:rsidR="00385F71" w:rsidRPr="00E705D3">
        <w:t>S</w:t>
      </w:r>
      <w:r w:rsidRPr="00E705D3">
        <w:t>everal key knowledge gaps have been identified in this work</w:t>
      </w:r>
      <w:r w:rsidR="00385F71" w:rsidRPr="00E705D3">
        <w:t>, and they need to be closed</w:t>
      </w:r>
      <w:r w:rsidRPr="00E705D3">
        <w:t xml:space="preserve">. </w:t>
      </w:r>
      <w:r w:rsidR="00385F71" w:rsidRPr="00E705D3">
        <w:t>We need to</w:t>
      </w:r>
      <w:r w:rsidRPr="00E705D3">
        <w:t xml:space="preserve"> understand how different levels of physical activity </w:t>
      </w:r>
      <w:r w:rsidR="00385F71" w:rsidRPr="00E705D3">
        <w:t>affect</w:t>
      </w:r>
      <w:r w:rsidRPr="00E705D3">
        <w:t xml:space="preserve"> health and production outcomes.</w:t>
      </w:r>
      <w:r w:rsidR="00D55005" w:rsidRPr="00E705D3">
        <w:t xml:space="preserve"> </w:t>
      </w:r>
      <w:r w:rsidRPr="00E705D3">
        <w:t>At the moment</w:t>
      </w:r>
      <w:r w:rsidR="00385F71" w:rsidRPr="00E705D3">
        <w:t>, using the best available models,</w:t>
      </w:r>
      <w:r w:rsidRPr="00E705D3">
        <w:t xml:space="preserve"> we are limited to being able to attribute the health and production </w:t>
      </w:r>
      <w:r w:rsidRPr="002F27A9">
        <w:t>outcomes</w:t>
      </w:r>
      <w:r w:rsidRPr="00E705D3">
        <w:t xml:space="preserve"> of shifting </w:t>
      </w:r>
      <w:r w:rsidR="00C3643F" w:rsidRPr="00E705D3">
        <w:t>from insufficient</w:t>
      </w:r>
      <w:r w:rsidR="00231EC7" w:rsidRPr="00E705D3">
        <w:t xml:space="preserve"> </w:t>
      </w:r>
      <w:r w:rsidRPr="00E705D3">
        <w:t>physical</w:t>
      </w:r>
      <w:r w:rsidR="00C3643F" w:rsidRPr="00E705D3">
        <w:t xml:space="preserve"> activity (physical</w:t>
      </w:r>
      <w:r w:rsidRPr="00E705D3">
        <w:t xml:space="preserve"> inactivity</w:t>
      </w:r>
      <w:r w:rsidR="00C3643F" w:rsidRPr="00E705D3">
        <w:t>)</w:t>
      </w:r>
      <w:r w:rsidRPr="00E705D3">
        <w:t xml:space="preserve"> and physical activity</w:t>
      </w:r>
      <w:r w:rsidR="00C3643F" w:rsidRPr="00E705D3">
        <w:t xml:space="preserve">, as defined by </w:t>
      </w:r>
      <w:r w:rsidR="00231EC7" w:rsidRPr="00E705D3">
        <w:t>meeting</w:t>
      </w:r>
      <w:r w:rsidR="00D40822" w:rsidRPr="00E705D3">
        <w:t xml:space="preserve"> the standards set out in</w:t>
      </w:r>
      <w:r w:rsidR="00231EC7" w:rsidRPr="00E705D3">
        <w:t xml:space="preserve"> </w:t>
      </w:r>
      <w:r w:rsidR="00231EC7" w:rsidRPr="00E705D3">
        <w:rPr>
          <w:i/>
        </w:rPr>
        <w:t>Australi</w:t>
      </w:r>
      <w:r w:rsidR="004B4511" w:rsidRPr="00E705D3">
        <w:rPr>
          <w:i/>
        </w:rPr>
        <w:t>a</w:t>
      </w:r>
      <w:r w:rsidR="00231EC7" w:rsidRPr="00E705D3">
        <w:rPr>
          <w:i/>
        </w:rPr>
        <w:t xml:space="preserve">’s </w:t>
      </w:r>
      <w:r w:rsidR="00D40822" w:rsidRPr="00E705D3">
        <w:rPr>
          <w:i/>
        </w:rPr>
        <w:t>physical activity and sedentary behaviour guidelines</w:t>
      </w:r>
      <w:r w:rsidR="00D40822" w:rsidRPr="00E705D3">
        <w:t xml:space="preserve"> (</w:t>
      </w:r>
      <w:proofErr w:type="spellStart"/>
      <w:r w:rsidR="00D40822" w:rsidRPr="00E705D3">
        <w:t>DoH</w:t>
      </w:r>
      <w:proofErr w:type="spellEnd"/>
      <w:r w:rsidR="00D40822" w:rsidRPr="00E705D3">
        <w:t> 2014)</w:t>
      </w:r>
      <w:r w:rsidRPr="00E705D3">
        <w:t>.</w:t>
      </w:r>
      <w:r w:rsidR="00D55005" w:rsidRPr="00E705D3">
        <w:t xml:space="preserve"> </w:t>
      </w:r>
      <w:r w:rsidRPr="00E705D3">
        <w:t>This relatively coarse level of understanding limits the scope for clear evidence</w:t>
      </w:r>
      <w:r w:rsidR="00D40822" w:rsidRPr="00E705D3">
        <w:t>-</w:t>
      </w:r>
      <w:r w:rsidRPr="00E705D3">
        <w:t>based policy</w:t>
      </w:r>
      <w:r w:rsidR="00D40822" w:rsidRPr="00E705D3">
        <w:t xml:space="preserve"> designed</w:t>
      </w:r>
      <w:r w:rsidRPr="00E705D3">
        <w:t xml:space="preserve"> to shift Victorians from being physically inactive</w:t>
      </w:r>
      <w:r w:rsidR="00C3643F" w:rsidRPr="00E705D3">
        <w:t xml:space="preserve"> (</w:t>
      </w:r>
      <w:r w:rsidR="00D40822" w:rsidRPr="00E705D3">
        <w:t>as defined in</w:t>
      </w:r>
      <w:r w:rsidR="00C3643F" w:rsidRPr="00E705D3">
        <w:t xml:space="preserve"> </w:t>
      </w:r>
      <w:r w:rsidR="00D40822" w:rsidRPr="00E705D3">
        <w:t>the g</w:t>
      </w:r>
      <w:r w:rsidR="00C3643F" w:rsidRPr="00E705D3">
        <w:t>uidelines)</w:t>
      </w:r>
      <w:r w:rsidRPr="00E705D3">
        <w:t xml:space="preserve"> to </w:t>
      </w:r>
      <w:r w:rsidR="00D40822" w:rsidRPr="00E705D3">
        <w:t xml:space="preserve">being </w:t>
      </w:r>
      <w:r w:rsidRPr="00E705D3">
        <w:t>active</w:t>
      </w:r>
      <w:r w:rsidR="00231EC7" w:rsidRPr="00E705D3">
        <w:t xml:space="preserve"> at a range of levels</w:t>
      </w:r>
      <w:r w:rsidRPr="00E705D3">
        <w:t>.</w:t>
      </w:r>
    </w:p>
    <w:p w:rsidR="00D55005" w:rsidRPr="00E705D3" w:rsidRDefault="00FB6026" w:rsidP="00653DC2">
      <w:pPr>
        <w:ind w:left="357"/>
      </w:pPr>
      <w:r w:rsidRPr="00E705D3">
        <w:t xml:space="preserve">Given that there are around </w:t>
      </w:r>
      <w:r w:rsidR="001E5E19" w:rsidRPr="00E705D3">
        <w:t>2</w:t>
      </w:r>
      <w:r w:rsidRPr="00E705D3">
        <w:t>.</w:t>
      </w:r>
      <w:r w:rsidR="00D55005" w:rsidRPr="00E705D3">
        <w:t>5 m</w:t>
      </w:r>
      <w:r w:rsidRPr="00E705D3">
        <w:t>illion Victorians aged 15+</w:t>
      </w:r>
      <w:r w:rsidR="00B50D7D" w:rsidRPr="00E705D3">
        <w:t> years</w:t>
      </w:r>
      <w:r w:rsidRPr="00E705D3">
        <w:t xml:space="preserve"> </w:t>
      </w:r>
      <w:r w:rsidR="00C3643F" w:rsidRPr="00E705D3">
        <w:t xml:space="preserve">not </w:t>
      </w:r>
      <w:r w:rsidR="00B31BD1" w:rsidRPr="00E705D3">
        <w:t>doing</w:t>
      </w:r>
      <w:r w:rsidR="00C3643F" w:rsidRPr="00E705D3">
        <w:t xml:space="preserve"> enough physical activity</w:t>
      </w:r>
      <w:r w:rsidR="00B50D7D" w:rsidRPr="00E705D3">
        <w:t>,</w:t>
      </w:r>
      <w:r w:rsidR="00C3643F" w:rsidRPr="00E705D3">
        <w:t xml:space="preserve"> </w:t>
      </w:r>
      <w:r w:rsidRPr="00E705D3">
        <w:t>th</w:t>
      </w:r>
      <w:r w:rsidR="00B50D7D" w:rsidRPr="00E705D3">
        <w:t>at</w:t>
      </w:r>
      <w:r w:rsidRPr="00E705D3">
        <w:t xml:space="preserve"> group may be enough for policy to focus on initially</w:t>
      </w:r>
      <w:r w:rsidR="00B50D7D" w:rsidRPr="00E705D3">
        <w:t>. However,</w:t>
      </w:r>
      <w:r w:rsidRPr="00E705D3">
        <w:t xml:space="preserve"> over time</w:t>
      </w:r>
      <w:r w:rsidR="00B50D7D" w:rsidRPr="00E705D3">
        <w:t>,</w:t>
      </w:r>
      <w:r w:rsidRPr="00E705D3">
        <w:t xml:space="preserve"> more nuanced and disaggregated policy may be called for</w:t>
      </w:r>
      <w:r w:rsidR="00B50D7D" w:rsidRPr="00E705D3">
        <w:t>,</w:t>
      </w:r>
      <w:r w:rsidRPr="00E705D3">
        <w:t xml:space="preserve"> and an evidence base</w:t>
      </w:r>
      <w:r w:rsidR="00B50D7D" w:rsidRPr="00E705D3">
        <w:t xml:space="preserve"> will be</w:t>
      </w:r>
      <w:r w:rsidRPr="00E705D3">
        <w:t xml:space="preserve"> needed to back th</w:t>
      </w:r>
      <w:r w:rsidR="00B50D7D" w:rsidRPr="00E705D3">
        <w:t>at policy</w:t>
      </w:r>
      <w:r w:rsidRPr="00E705D3">
        <w:t>.</w:t>
      </w:r>
      <w:r w:rsidR="00D55005" w:rsidRPr="00E705D3">
        <w:t xml:space="preserve"> </w:t>
      </w:r>
      <w:r w:rsidRPr="00E705D3">
        <w:t>A second key data gap is the lack of evidence on the economic and welfare implications of active recreation in the under</w:t>
      </w:r>
      <w:r w:rsidR="00B50D7D" w:rsidRPr="00E705D3">
        <w:noBreakHyphen/>
      </w:r>
      <w:r w:rsidRPr="00E705D3">
        <w:t>1</w:t>
      </w:r>
      <w:r w:rsidR="00D55005" w:rsidRPr="00E705D3">
        <w:t>5</w:t>
      </w:r>
      <w:r w:rsidR="00B50D7D" w:rsidRPr="00E705D3">
        <w:t> </w:t>
      </w:r>
      <w:r w:rsidRPr="00E705D3">
        <w:t>age category.</w:t>
      </w:r>
    </w:p>
    <w:p w:rsidR="00D55005" w:rsidRPr="00E705D3" w:rsidRDefault="00FB6026" w:rsidP="002F27A9">
      <w:pPr>
        <w:pStyle w:val="ListParagraph"/>
      </w:pPr>
      <w:r w:rsidRPr="00653DC2">
        <w:rPr>
          <w:b/>
        </w:rPr>
        <w:t>Develop a standard approach for estimating the economic and welfare contribution of Victoria’s sport and active recreation sectors</w:t>
      </w:r>
      <w:r w:rsidR="00B50D7D" w:rsidRPr="00653DC2">
        <w:rPr>
          <w:b/>
        </w:rPr>
        <w:t>.</w:t>
      </w:r>
      <w:r w:rsidR="00D55005" w:rsidRPr="00E705D3">
        <w:t xml:space="preserve"> </w:t>
      </w:r>
      <w:r w:rsidR="00B50D7D" w:rsidRPr="00E705D3">
        <w:t>S</w:t>
      </w:r>
      <w:r w:rsidRPr="00E705D3">
        <w:t>port and active recreation are natural and compl</w:t>
      </w:r>
      <w:r w:rsidR="00B50D7D" w:rsidRPr="00E705D3">
        <w:t>e</w:t>
      </w:r>
      <w:r w:rsidRPr="00E705D3">
        <w:t>mentary activities.</w:t>
      </w:r>
      <w:r w:rsidR="00D55005" w:rsidRPr="00E705D3">
        <w:t xml:space="preserve"> </w:t>
      </w:r>
      <w:r w:rsidRPr="00E705D3">
        <w:t xml:space="preserve">Our work </w:t>
      </w:r>
      <w:r w:rsidR="00B50D7D" w:rsidRPr="00E705D3">
        <w:t xml:space="preserve">found </w:t>
      </w:r>
      <w:r w:rsidRPr="00E705D3">
        <w:t xml:space="preserve">that sport and active recreation sectors and subsectors </w:t>
      </w:r>
      <w:r w:rsidR="00B50D7D" w:rsidRPr="00E705D3">
        <w:t xml:space="preserve">that </w:t>
      </w:r>
      <w:r w:rsidRPr="00E705D3">
        <w:t>are evaluating their economic contribution in Victoria are often using different approaches. Th</w:t>
      </w:r>
      <w:r w:rsidR="00B50D7D" w:rsidRPr="00E705D3">
        <w:t>o</w:t>
      </w:r>
      <w:r w:rsidRPr="00E705D3">
        <w:t>se approaches are not always consistent</w:t>
      </w:r>
      <w:r w:rsidR="00D40822" w:rsidRPr="00E705D3">
        <w:t xml:space="preserve"> or</w:t>
      </w:r>
      <w:r w:rsidRPr="00E705D3">
        <w:t xml:space="preserve"> transparent. We think</w:t>
      </w:r>
      <w:r w:rsidR="00F019F5" w:rsidRPr="00E705D3">
        <w:t xml:space="preserve"> that</w:t>
      </w:r>
      <w:r w:rsidRPr="00E705D3">
        <w:t xml:space="preserve"> the Victorian physical activity sector would benefit from </w:t>
      </w:r>
      <w:r w:rsidR="00F019F5" w:rsidRPr="00E705D3">
        <w:t xml:space="preserve">using </w:t>
      </w:r>
      <w:r w:rsidRPr="00E705D3">
        <w:t>a uniform approach to estimat</w:t>
      </w:r>
      <w:r w:rsidR="00F019F5" w:rsidRPr="00E705D3">
        <w:t>e</w:t>
      </w:r>
      <w:r w:rsidRPr="00E705D3">
        <w:t xml:space="preserve"> the economic and welfare contributions of </w:t>
      </w:r>
      <w:r w:rsidR="00EC6B6D" w:rsidRPr="00E705D3">
        <w:t>active recreation</w:t>
      </w:r>
      <w:r w:rsidRPr="00E705D3">
        <w:t xml:space="preserve"> subsectors. Th</w:t>
      </w:r>
      <w:r w:rsidR="00D40822" w:rsidRPr="00E705D3">
        <w:t>at</w:t>
      </w:r>
      <w:r w:rsidRPr="00E705D3">
        <w:t xml:space="preserve"> approach should preferably be developed using </w:t>
      </w:r>
      <w:r w:rsidR="00D40822" w:rsidRPr="00E705D3">
        <w:t xml:space="preserve">the </w:t>
      </w:r>
      <w:r w:rsidRPr="00E705D3">
        <w:t>Victorian Department of Treasury and Finance</w:t>
      </w:r>
      <w:r w:rsidR="00F019F5" w:rsidRPr="00E705D3">
        <w:t>’s</w:t>
      </w:r>
      <w:r w:rsidRPr="00E705D3">
        <w:t xml:space="preserve"> guidelines and support, which would ensure </w:t>
      </w:r>
      <w:r w:rsidR="00F019F5" w:rsidRPr="00E705D3">
        <w:t xml:space="preserve">that </w:t>
      </w:r>
      <w:r w:rsidRPr="00E705D3">
        <w:t>the approach is ‘gold standard’.</w:t>
      </w:r>
    </w:p>
    <w:p w:rsidR="00FB6026" w:rsidRPr="00E705D3" w:rsidRDefault="00FB6026" w:rsidP="002F27A9">
      <w:pPr>
        <w:pStyle w:val="ListParagraph"/>
      </w:pPr>
      <w:r w:rsidRPr="00E705D3">
        <w:rPr>
          <w:b/>
        </w:rPr>
        <w:t>Develop industry-standard economic and welfare performance measures</w:t>
      </w:r>
      <w:r w:rsidR="00F019F5" w:rsidRPr="00E705D3">
        <w:rPr>
          <w:b/>
        </w:rPr>
        <w:t>.</w:t>
      </w:r>
      <w:r w:rsidR="00D55005" w:rsidRPr="00E705D3">
        <w:t xml:space="preserve"> </w:t>
      </w:r>
      <w:r w:rsidR="00F019F5" w:rsidRPr="00E705D3">
        <w:t>T</w:t>
      </w:r>
      <w:r w:rsidRPr="00E705D3">
        <w:t xml:space="preserve">he Victorian sport and active recreation sectors would benefit from having a uniform set of economic and welfare contribution measures </w:t>
      </w:r>
      <w:r w:rsidR="00F019F5" w:rsidRPr="00E705D3">
        <w:t xml:space="preserve">for evaluating </w:t>
      </w:r>
      <w:r w:rsidRPr="00E705D3">
        <w:t xml:space="preserve">industry performance over time. </w:t>
      </w:r>
      <w:r w:rsidR="00F019F5" w:rsidRPr="00E705D3">
        <w:t>T</w:t>
      </w:r>
      <w:r w:rsidRPr="00E705D3">
        <w:t>h</w:t>
      </w:r>
      <w:r w:rsidR="00F019F5" w:rsidRPr="00E705D3">
        <w:t>o</w:t>
      </w:r>
      <w:r w:rsidRPr="00E705D3">
        <w:t>se measures could</w:t>
      </w:r>
      <w:r w:rsidR="00F019F5" w:rsidRPr="00E705D3">
        <w:t xml:space="preserve"> also</w:t>
      </w:r>
      <w:r w:rsidRPr="00E705D3">
        <w:t xml:space="preserve"> be developed using Victorian Department of Treasury and Finance guidelines and support.</w:t>
      </w:r>
    </w:p>
    <w:p w:rsidR="00FA4E06" w:rsidRPr="00500F57" w:rsidRDefault="00231EC7" w:rsidP="00FA4E06">
      <w:pPr>
        <w:pStyle w:val="ListParagraph"/>
      </w:pPr>
      <w:r w:rsidRPr="00E705D3">
        <w:rPr>
          <w:b/>
        </w:rPr>
        <w:t>Further</w:t>
      </w:r>
      <w:r w:rsidR="00FB6026" w:rsidRPr="00E705D3">
        <w:rPr>
          <w:b/>
        </w:rPr>
        <w:t xml:space="preserve"> research and sector development</w:t>
      </w:r>
      <w:r w:rsidR="00F019F5" w:rsidRPr="00E705D3">
        <w:rPr>
          <w:b/>
        </w:rPr>
        <w:t>.</w:t>
      </w:r>
      <w:r w:rsidR="00FB6026" w:rsidRPr="00500F57">
        <w:t xml:space="preserve"> </w:t>
      </w:r>
      <w:r w:rsidR="00F019F5">
        <w:t>T</w:t>
      </w:r>
      <w:r w:rsidR="00FB6026" w:rsidRPr="00500F57">
        <w:t xml:space="preserve">he potentially significant size of the </w:t>
      </w:r>
      <w:r w:rsidR="00F019F5">
        <w:t xml:space="preserve">Victorian </w:t>
      </w:r>
      <w:r w:rsidR="00FB6026" w:rsidRPr="00500F57">
        <w:t>active recreation sector</w:t>
      </w:r>
      <w:r w:rsidR="00F019F5">
        <w:t>’s economic and welfare contribution</w:t>
      </w:r>
      <w:r w:rsidR="00D40822">
        <w:t>s</w:t>
      </w:r>
      <w:r w:rsidR="00FB6026" w:rsidRPr="00500F57">
        <w:t xml:space="preserve"> means </w:t>
      </w:r>
      <w:r w:rsidR="00F019F5">
        <w:t>that the sector</w:t>
      </w:r>
      <w:r w:rsidR="00F019F5" w:rsidRPr="00500F57">
        <w:t xml:space="preserve"> </w:t>
      </w:r>
      <w:r w:rsidR="00FB6026" w:rsidRPr="00500F57">
        <w:t>warrants further attention.</w:t>
      </w:r>
      <w:r w:rsidR="00D55005" w:rsidRPr="00500F57">
        <w:t xml:space="preserve"> </w:t>
      </w:r>
      <w:r w:rsidR="00FB6026" w:rsidRPr="00500F57">
        <w:t>This report starts to build an evidence</w:t>
      </w:r>
      <w:r w:rsidR="00F019F5">
        <w:t>-</w:t>
      </w:r>
      <w:r w:rsidR="00FB6026" w:rsidRPr="00500F57">
        <w:t>based case for additional research into how the sector can be developed to make an even greater contribution to Victoria’s economy and the health, wellbeing and productivity</w:t>
      </w:r>
      <w:r w:rsidR="00FA4E06">
        <w:t xml:space="preserve"> </w:t>
      </w:r>
      <w:r w:rsidR="00FA4E06" w:rsidRPr="00500F57">
        <w:t xml:space="preserve">of </w:t>
      </w:r>
      <w:r w:rsidR="00FA4E06">
        <w:t>Victorians</w:t>
      </w:r>
      <w:r w:rsidR="00FA4E06" w:rsidRPr="00500F57">
        <w:t xml:space="preserve"> in the future.</w:t>
      </w:r>
    </w:p>
    <w:p w:rsidR="0015554B" w:rsidRDefault="0015554B">
      <w:pPr>
        <w:keepLines w:val="0"/>
        <w:spacing w:after="0" w:line="240" w:lineRule="auto"/>
      </w:pPr>
      <w:bookmarkStart w:id="23" w:name="_Toc431986492"/>
      <w:bookmarkStart w:id="24" w:name="_Toc432978345"/>
      <w:bookmarkStart w:id="25" w:name="_Toc433121728"/>
      <w:bookmarkStart w:id="26" w:name="_Toc438122099"/>
      <w:bookmarkStart w:id="27" w:name="_Toc464058638"/>
      <w:bookmarkStart w:id="28" w:name="_Toc464570230"/>
      <w:bookmarkStart w:id="29" w:name="_Toc464570388"/>
      <w:bookmarkStart w:id="30" w:name="_Toc464638804"/>
      <w:bookmarkStart w:id="31" w:name="_Toc477964687"/>
      <w:r>
        <w:br w:type="page"/>
      </w:r>
    </w:p>
    <w:p w:rsidR="00E20E7D" w:rsidRDefault="00727996" w:rsidP="0015554B">
      <w:pPr>
        <w:pStyle w:val="Heading1a"/>
        <w:rPr>
          <w:noProof/>
        </w:rPr>
      </w:pPr>
      <w:r w:rsidRPr="00500F57">
        <w:lastRenderedPageBreak/>
        <w:t>Contents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DD11DD">
        <w:rPr>
          <w:rFonts w:ascii="Lato" w:hAnsi="Lato"/>
        </w:rPr>
        <w:fldChar w:fldCharType="begin"/>
      </w:r>
      <w:r w:rsidR="00EB5BA9">
        <w:instrText xml:space="preserve"> TOC \h \z \t "Heading 1,1" </w:instrText>
      </w:r>
      <w:r w:rsidR="00DD11DD">
        <w:rPr>
          <w:rFonts w:ascii="Lato" w:hAnsi="Lato"/>
        </w:rPr>
        <w:fldChar w:fldCharType="separate"/>
      </w:r>
    </w:p>
    <w:p w:rsidR="00E20E7D" w:rsidRDefault="00670BA2">
      <w:pPr>
        <w:pStyle w:val="TOC1"/>
        <w:rPr>
          <w:rFonts w:asciiTheme="minorHAnsi" w:eastAsiaTheme="minorEastAsia" w:hAnsiTheme="minorHAnsi" w:cstheme="minorBidi"/>
          <w:noProof/>
          <w:color w:val="auto"/>
          <w:spacing w:val="0"/>
          <w:sz w:val="22"/>
          <w:szCs w:val="22"/>
        </w:rPr>
      </w:pPr>
      <w:hyperlink w:anchor="_Toc516050175" w:history="1">
        <w:r w:rsidR="00E20E7D" w:rsidRPr="00FF0AA4">
          <w:rPr>
            <w:rStyle w:val="Hyperlink"/>
            <w:noProof/>
          </w:rPr>
          <w:t>Summary</w:t>
        </w:r>
        <w:r w:rsidR="00E20E7D">
          <w:rPr>
            <w:noProof/>
            <w:webHidden/>
          </w:rPr>
          <w:tab/>
        </w:r>
        <w:r w:rsidR="00E20E7D">
          <w:rPr>
            <w:noProof/>
            <w:webHidden/>
          </w:rPr>
          <w:fldChar w:fldCharType="begin"/>
        </w:r>
        <w:r w:rsidR="00E20E7D">
          <w:rPr>
            <w:noProof/>
            <w:webHidden/>
          </w:rPr>
          <w:instrText xml:space="preserve"> PAGEREF _Toc516050175 \h </w:instrText>
        </w:r>
        <w:r w:rsidR="00E20E7D">
          <w:rPr>
            <w:noProof/>
            <w:webHidden/>
          </w:rPr>
        </w:r>
        <w:r w:rsidR="00E20E7D">
          <w:rPr>
            <w:noProof/>
            <w:webHidden/>
          </w:rPr>
          <w:fldChar w:fldCharType="separate"/>
        </w:r>
        <w:r w:rsidR="00E20E7D">
          <w:rPr>
            <w:noProof/>
            <w:webHidden/>
          </w:rPr>
          <w:t>4</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76" w:history="1">
        <w:r w:rsidR="00E20E7D" w:rsidRPr="00FF0AA4">
          <w:rPr>
            <w:rStyle w:val="Hyperlink"/>
            <w:noProof/>
          </w:rPr>
          <w:t>Acknowledgements</w:t>
        </w:r>
        <w:r w:rsidR="00E20E7D">
          <w:rPr>
            <w:noProof/>
            <w:webHidden/>
          </w:rPr>
          <w:tab/>
        </w:r>
        <w:r w:rsidR="00E20E7D">
          <w:rPr>
            <w:noProof/>
            <w:webHidden/>
          </w:rPr>
          <w:fldChar w:fldCharType="begin"/>
        </w:r>
        <w:r w:rsidR="00E20E7D">
          <w:rPr>
            <w:noProof/>
            <w:webHidden/>
          </w:rPr>
          <w:instrText xml:space="preserve"> PAGEREF _Toc516050176 \h </w:instrText>
        </w:r>
        <w:r w:rsidR="00E20E7D">
          <w:rPr>
            <w:noProof/>
            <w:webHidden/>
          </w:rPr>
        </w:r>
        <w:r w:rsidR="00E20E7D">
          <w:rPr>
            <w:noProof/>
            <w:webHidden/>
          </w:rPr>
          <w:fldChar w:fldCharType="separate"/>
        </w:r>
        <w:r w:rsidR="00E20E7D">
          <w:rPr>
            <w:noProof/>
            <w:webHidden/>
          </w:rPr>
          <w:t>9</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77" w:history="1">
        <w:r w:rsidR="00E20E7D" w:rsidRPr="00FF0AA4">
          <w:rPr>
            <w:rStyle w:val="Hyperlink"/>
            <w:noProof/>
          </w:rPr>
          <w:t>Introduction</w:t>
        </w:r>
        <w:r w:rsidR="00E20E7D">
          <w:rPr>
            <w:noProof/>
            <w:webHidden/>
          </w:rPr>
          <w:tab/>
        </w:r>
        <w:r w:rsidR="00E20E7D">
          <w:rPr>
            <w:noProof/>
            <w:webHidden/>
          </w:rPr>
          <w:fldChar w:fldCharType="begin"/>
        </w:r>
        <w:r w:rsidR="00E20E7D">
          <w:rPr>
            <w:noProof/>
            <w:webHidden/>
          </w:rPr>
          <w:instrText xml:space="preserve"> PAGEREF _Toc516050177 \h </w:instrText>
        </w:r>
        <w:r w:rsidR="00E20E7D">
          <w:rPr>
            <w:noProof/>
            <w:webHidden/>
          </w:rPr>
        </w:r>
        <w:r w:rsidR="00E20E7D">
          <w:rPr>
            <w:noProof/>
            <w:webHidden/>
          </w:rPr>
          <w:fldChar w:fldCharType="separate"/>
        </w:r>
        <w:r w:rsidR="00E20E7D">
          <w:rPr>
            <w:noProof/>
            <w:webHidden/>
          </w:rPr>
          <w:t>10</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78" w:history="1">
        <w:r w:rsidR="00E20E7D" w:rsidRPr="00FF0AA4">
          <w:rPr>
            <w:rStyle w:val="Hyperlink"/>
            <w:noProof/>
          </w:rPr>
          <w:t>Evaluation framework</w:t>
        </w:r>
        <w:r w:rsidR="00E20E7D">
          <w:rPr>
            <w:noProof/>
            <w:webHidden/>
          </w:rPr>
          <w:tab/>
        </w:r>
        <w:r w:rsidR="00E20E7D">
          <w:rPr>
            <w:noProof/>
            <w:webHidden/>
          </w:rPr>
          <w:fldChar w:fldCharType="begin"/>
        </w:r>
        <w:r w:rsidR="00E20E7D">
          <w:rPr>
            <w:noProof/>
            <w:webHidden/>
          </w:rPr>
          <w:instrText xml:space="preserve"> PAGEREF _Toc516050178 \h </w:instrText>
        </w:r>
        <w:r w:rsidR="00E20E7D">
          <w:rPr>
            <w:noProof/>
            <w:webHidden/>
          </w:rPr>
        </w:r>
        <w:r w:rsidR="00E20E7D">
          <w:rPr>
            <w:noProof/>
            <w:webHidden/>
          </w:rPr>
          <w:fldChar w:fldCharType="separate"/>
        </w:r>
        <w:r w:rsidR="00E20E7D">
          <w:rPr>
            <w:noProof/>
            <w:webHidden/>
          </w:rPr>
          <w:t>13</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79" w:history="1">
        <w:r w:rsidR="00E20E7D" w:rsidRPr="00FF0AA4">
          <w:rPr>
            <w:rStyle w:val="Hyperlink"/>
            <w:noProof/>
          </w:rPr>
          <w:t>Headline estimates</w:t>
        </w:r>
        <w:r w:rsidR="00E20E7D">
          <w:rPr>
            <w:noProof/>
            <w:webHidden/>
          </w:rPr>
          <w:tab/>
        </w:r>
        <w:r w:rsidR="00E20E7D">
          <w:rPr>
            <w:noProof/>
            <w:webHidden/>
          </w:rPr>
          <w:fldChar w:fldCharType="begin"/>
        </w:r>
        <w:r w:rsidR="00E20E7D">
          <w:rPr>
            <w:noProof/>
            <w:webHidden/>
          </w:rPr>
          <w:instrText xml:space="preserve"> PAGEREF _Toc516050179 \h </w:instrText>
        </w:r>
        <w:r w:rsidR="00E20E7D">
          <w:rPr>
            <w:noProof/>
            <w:webHidden/>
          </w:rPr>
        </w:r>
        <w:r w:rsidR="00E20E7D">
          <w:rPr>
            <w:noProof/>
            <w:webHidden/>
          </w:rPr>
          <w:fldChar w:fldCharType="separate"/>
        </w:r>
        <w:r w:rsidR="00E20E7D">
          <w:rPr>
            <w:noProof/>
            <w:webHidden/>
          </w:rPr>
          <w:t>21</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0" w:history="1">
        <w:r w:rsidR="00E20E7D" w:rsidRPr="00FF0AA4">
          <w:rPr>
            <w:rStyle w:val="Hyperlink"/>
            <w:noProof/>
          </w:rPr>
          <w:t>Active recreation participation</w:t>
        </w:r>
        <w:r w:rsidR="00E20E7D">
          <w:rPr>
            <w:noProof/>
            <w:webHidden/>
          </w:rPr>
          <w:tab/>
        </w:r>
        <w:r w:rsidR="00E20E7D">
          <w:rPr>
            <w:noProof/>
            <w:webHidden/>
          </w:rPr>
          <w:fldChar w:fldCharType="begin"/>
        </w:r>
        <w:r w:rsidR="00E20E7D">
          <w:rPr>
            <w:noProof/>
            <w:webHidden/>
          </w:rPr>
          <w:instrText xml:space="preserve"> PAGEREF _Toc516050180 \h </w:instrText>
        </w:r>
        <w:r w:rsidR="00E20E7D">
          <w:rPr>
            <w:noProof/>
            <w:webHidden/>
          </w:rPr>
        </w:r>
        <w:r w:rsidR="00E20E7D">
          <w:rPr>
            <w:noProof/>
            <w:webHidden/>
          </w:rPr>
          <w:fldChar w:fldCharType="separate"/>
        </w:r>
        <w:r w:rsidR="00E20E7D">
          <w:rPr>
            <w:noProof/>
            <w:webHidden/>
          </w:rPr>
          <w:t>23</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1" w:history="1">
        <w:r w:rsidR="00E20E7D" w:rsidRPr="00FF0AA4">
          <w:rPr>
            <w:rStyle w:val="Hyperlink"/>
            <w:noProof/>
          </w:rPr>
          <w:t>Economic contribution</w:t>
        </w:r>
        <w:r w:rsidR="00E20E7D">
          <w:rPr>
            <w:noProof/>
            <w:webHidden/>
          </w:rPr>
          <w:tab/>
        </w:r>
        <w:r w:rsidR="00E20E7D">
          <w:rPr>
            <w:noProof/>
            <w:webHidden/>
          </w:rPr>
          <w:fldChar w:fldCharType="begin"/>
        </w:r>
        <w:r w:rsidR="00E20E7D">
          <w:rPr>
            <w:noProof/>
            <w:webHidden/>
          </w:rPr>
          <w:instrText xml:space="preserve"> PAGEREF _Toc516050181 \h </w:instrText>
        </w:r>
        <w:r w:rsidR="00E20E7D">
          <w:rPr>
            <w:noProof/>
            <w:webHidden/>
          </w:rPr>
        </w:r>
        <w:r w:rsidR="00E20E7D">
          <w:rPr>
            <w:noProof/>
            <w:webHidden/>
          </w:rPr>
          <w:fldChar w:fldCharType="separate"/>
        </w:r>
        <w:r w:rsidR="00E20E7D">
          <w:rPr>
            <w:noProof/>
            <w:webHidden/>
          </w:rPr>
          <w:t>27</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2" w:history="1">
        <w:r w:rsidR="00E20E7D" w:rsidRPr="00FF0AA4">
          <w:rPr>
            <w:rStyle w:val="Hyperlink"/>
            <w:noProof/>
          </w:rPr>
          <w:t>Welfare contribution</w:t>
        </w:r>
        <w:r w:rsidR="00E20E7D">
          <w:rPr>
            <w:noProof/>
            <w:webHidden/>
          </w:rPr>
          <w:tab/>
        </w:r>
        <w:r w:rsidR="00E20E7D">
          <w:rPr>
            <w:noProof/>
            <w:webHidden/>
          </w:rPr>
          <w:fldChar w:fldCharType="begin"/>
        </w:r>
        <w:r w:rsidR="00E20E7D">
          <w:rPr>
            <w:noProof/>
            <w:webHidden/>
          </w:rPr>
          <w:instrText xml:space="preserve"> PAGEREF _Toc516050182 \h </w:instrText>
        </w:r>
        <w:r w:rsidR="00E20E7D">
          <w:rPr>
            <w:noProof/>
            <w:webHidden/>
          </w:rPr>
        </w:r>
        <w:r w:rsidR="00E20E7D">
          <w:rPr>
            <w:noProof/>
            <w:webHidden/>
          </w:rPr>
          <w:fldChar w:fldCharType="separate"/>
        </w:r>
        <w:r w:rsidR="00E20E7D">
          <w:rPr>
            <w:noProof/>
            <w:webHidden/>
          </w:rPr>
          <w:t>33</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3" w:history="1">
        <w:r w:rsidR="00E20E7D" w:rsidRPr="00FF0AA4">
          <w:rPr>
            <w:rStyle w:val="Hyperlink"/>
            <w:noProof/>
          </w:rPr>
          <w:t>Unquantified impacts</w:t>
        </w:r>
        <w:r w:rsidR="00E20E7D">
          <w:rPr>
            <w:noProof/>
            <w:webHidden/>
          </w:rPr>
          <w:tab/>
        </w:r>
        <w:r w:rsidR="00E20E7D">
          <w:rPr>
            <w:noProof/>
            <w:webHidden/>
          </w:rPr>
          <w:fldChar w:fldCharType="begin"/>
        </w:r>
        <w:r w:rsidR="00E20E7D">
          <w:rPr>
            <w:noProof/>
            <w:webHidden/>
          </w:rPr>
          <w:instrText xml:space="preserve"> PAGEREF _Toc516050183 \h </w:instrText>
        </w:r>
        <w:r w:rsidR="00E20E7D">
          <w:rPr>
            <w:noProof/>
            <w:webHidden/>
          </w:rPr>
        </w:r>
        <w:r w:rsidR="00E20E7D">
          <w:rPr>
            <w:noProof/>
            <w:webHidden/>
          </w:rPr>
          <w:fldChar w:fldCharType="separate"/>
        </w:r>
        <w:r w:rsidR="00E20E7D">
          <w:rPr>
            <w:noProof/>
            <w:webHidden/>
          </w:rPr>
          <w:t>38</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4" w:history="1">
        <w:r w:rsidR="00E20E7D" w:rsidRPr="00FF0AA4">
          <w:rPr>
            <w:rStyle w:val="Hyperlink"/>
            <w:noProof/>
          </w:rPr>
          <w:t>Return on investment</w:t>
        </w:r>
        <w:r w:rsidR="00E20E7D">
          <w:rPr>
            <w:noProof/>
            <w:webHidden/>
          </w:rPr>
          <w:tab/>
        </w:r>
        <w:r w:rsidR="00E20E7D">
          <w:rPr>
            <w:noProof/>
            <w:webHidden/>
          </w:rPr>
          <w:fldChar w:fldCharType="begin"/>
        </w:r>
        <w:r w:rsidR="00E20E7D">
          <w:rPr>
            <w:noProof/>
            <w:webHidden/>
          </w:rPr>
          <w:instrText xml:space="preserve"> PAGEREF _Toc516050184 \h </w:instrText>
        </w:r>
        <w:r w:rsidR="00E20E7D">
          <w:rPr>
            <w:noProof/>
            <w:webHidden/>
          </w:rPr>
        </w:r>
        <w:r w:rsidR="00E20E7D">
          <w:rPr>
            <w:noProof/>
            <w:webHidden/>
          </w:rPr>
          <w:fldChar w:fldCharType="separate"/>
        </w:r>
        <w:r w:rsidR="00E20E7D">
          <w:rPr>
            <w:noProof/>
            <w:webHidden/>
          </w:rPr>
          <w:t>39</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5" w:history="1">
        <w:r w:rsidR="00E20E7D" w:rsidRPr="00FF0AA4">
          <w:rPr>
            <w:rStyle w:val="Hyperlink"/>
            <w:noProof/>
          </w:rPr>
          <w:t>Next steps</w:t>
        </w:r>
        <w:r w:rsidR="00E20E7D">
          <w:rPr>
            <w:noProof/>
            <w:webHidden/>
          </w:rPr>
          <w:tab/>
        </w:r>
        <w:r w:rsidR="00E20E7D">
          <w:rPr>
            <w:noProof/>
            <w:webHidden/>
          </w:rPr>
          <w:fldChar w:fldCharType="begin"/>
        </w:r>
        <w:r w:rsidR="00E20E7D">
          <w:rPr>
            <w:noProof/>
            <w:webHidden/>
          </w:rPr>
          <w:instrText xml:space="preserve"> PAGEREF _Toc516050185 \h </w:instrText>
        </w:r>
        <w:r w:rsidR="00E20E7D">
          <w:rPr>
            <w:noProof/>
            <w:webHidden/>
          </w:rPr>
        </w:r>
        <w:r w:rsidR="00E20E7D">
          <w:rPr>
            <w:noProof/>
            <w:webHidden/>
          </w:rPr>
          <w:fldChar w:fldCharType="separate"/>
        </w:r>
        <w:r w:rsidR="00E20E7D">
          <w:rPr>
            <w:noProof/>
            <w:webHidden/>
          </w:rPr>
          <w:t>41</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6" w:history="1">
        <w:r w:rsidR="00E20E7D" w:rsidRPr="00FF0AA4">
          <w:rPr>
            <w:rStyle w:val="Hyperlink"/>
            <w:noProof/>
          </w:rPr>
          <w:t>Appendix A: Glossary of terms</w:t>
        </w:r>
        <w:r w:rsidR="00E20E7D">
          <w:rPr>
            <w:noProof/>
            <w:webHidden/>
          </w:rPr>
          <w:tab/>
        </w:r>
        <w:r w:rsidR="00E20E7D">
          <w:rPr>
            <w:noProof/>
            <w:webHidden/>
          </w:rPr>
          <w:fldChar w:fldCharType="begin"/>
        </w:r>
        <w:r w:rsidR="00E20E7D">
          <w:rPr>
            <w:noProof/>
            <w:webHidden/>
          </w:rPr>
          <w:instrText xml:space="preserve"> PAGEREF _Toc516050186 \h </w:instrText>
        </w:r>
        <w:r w:rsidR="00E20E7D">
          <w:rPr>
            <w:noProof/>
            <w:webHidden/>
          </w:rPr>
        </w:r>
        <w:r w:rsidR="00E20E7D">
          <w:rPr>
            <w:noProof/>
            <w:webHidden/>
          </w:rPr>
          <w:fldChar w:fldCharType="separate"/>
        </w:r>
        <w:r w:rsidR="00E20E7D">
          <w:rPr>
            <w:noProof/>
            <w:webHidden/>
          </w:rPr>
          <w:t>43</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7" w:history="1">
        <w:r w:rsidR="00E20E7D" w:rsidRPr="00FF0AA4">
          <w:rPr>
            <w:rStyle w:val="Hyperlink"/>
            <w:noProof/>
          </w:rPr>
          <w:t>Appendix B: National guidelines for physical activity and sedentary behaviour</w:t>
        </w:r>
        <w:r w:rsidR="00E20E7D">
          <w:rPr>
            <w:noProof/>
            <w:webHidden/>
          </w:rPr>
          <w:tab/>
        </w:r>
        <w:r w:rsidR="00E20E7D">
          <w:rPr>
            <w:noProof/>
            <w:webHidden/>
          </w:rPr>
          <w:fldChar w:fldCharType="begin"/>
        </w:r>
        <w:r w:rsidR="00E20E7D">
          <w:rPr>
            <w:noProof/>
            <w:webHidden/>
          </w:rPr>
          <w:instrText xml:space="preserve"> PAGEREF _Toc516050187 \h </w:instrText>
        </w:r>
        <w:r w:rsidR="00E20E7D">
          <w:rPr>
            <w:noProof/>
            <w:webHidden/>
          </w:rPr>
        </w:r>
        <w:r w:rsidR="00E20E7D">
          <w:rPr>
            <w:noProof/>
            <w:webHidden/>
          </w:rPr>
          <w:fldChar w:fldCharType="separate"/>
        </w:r>
        <w:r w:rsidR="00E20E7D">
          <w:rPr>
            <w:noProof/>
            <w:webHidden/>
          </w:rPr>
          <w:t>46</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8" w:history="1">
        <w:r w:rsidR="00E20E7D" w:rsidRPr="00FF0AA4">
          <w:rPr>
            <w:rStyle w:val="Hyperlink"/>
            <w:noProof/>
          </w:rPr>
          <w:t>Appendix C: Economic evaluation approach</w:t>
        </w:r>
        <w:r w:rsidR="00E20E7D">
          <w:rPr>
            <w:noProof/>
            <w:webHidden/>
          </w:rPr>
          <w:tab/>
        </w:r>
        <w:r w:rsidR="00E20E7D">
          <w:rPr>
            <w:noProof/>
            <w:webHidden/>
          </w:rPr>
          <w:fldChar w:fldCharType="begin"/>
        </w:r>
        <w:r w:rsidR="00E20E7D">
          <w:rPr>
            <w:noProof/>
            <w:webHidden/>
          </w:rPr>
          <w:instrText xml:space="preserve"> PAGEREF _Toc516050188 \h </w:instrText>
        </w:r>
        <w:r w:rsidR="00E20E7D">
          <w:rPr>
            <w:noProof/>
            <w:webHidden/>
          </w:rPr>
        </w:r>
        <w:r w:rsidR="00E20E7D">
          <w:rPr>
            <w:noProof/>
            <w:webHidden/>
          </w:rPr>
          <w:fldChar w:fldCharType="separate"/>
        </w:r>
        <w:r w:rsidR="00E20E7D">
          <w:rPr>
            <w:noProof/>
            <w:webHidden/>
          </w:rPr>
          <w:t>47</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89" w:history="1">
        <w:r w:rsidR="00E20E7D" w:rsidRPr="00FF0AA4">
          <w:rPr>
            <w:rStyle w:val="Hyperlink"/>
            <w:noProof/>
          </w:rPr>
          <w:t>References</w:t>
        </w:r>
        <w:r w:rsidR="00E20E7D">
          <w:rPr>
            <w:noProof/>
            <w:webHidden/>
          </w:rPr>
          <w:tab/>
        </w:r>
        <w:r w:rsidR="00E20E7D">
          <w:rPr>
            <w:noProof/>
            <w:webHidden/>
          </w:rPr>
          <w:fldChar w:fldCharType="begin"/>
        </w:r>
        <w:r w:rsidR="00E20E7D">
          <w:rPr>
            <w:noProof/>
            <w:webHidden/>
          </w:rPr>
          <w:instrText xml:space="preserve"> PAGEREF _Toc516050189 \h </w:instrText>
        </w:r>
        <w:r w:rsidR="00E20E7D">
          <w:rPr>
            <w:noProof/>
            <w:webHidden/>
          </w:rPr>
        </w:r>
        <w:r w:rsidR="00E20E7D">
          <w:rPr>
            <w:noProof/>
            <w:webHidden/>
          </w:rPr>
          <w:fldChar w:fldCharType="separate"/>
        </w:r>
        <w:r w:rsidR="00E20E7D">
          <w:rPr>
            <w:noProof/>
            <w:webHidden/>
          </w:rPr>
          <w:t>55</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90" w:history="1">
        <w:r w:rsidR="00E20E7D" w:rsidRPr="00FF0AA4">
          <w:rPr>
            <w:rStyle w:val="Hyperlink"/>
            <w:noProof/>
          </w:rPr>
          <w:t>Acronyms and abbreviations</w:t>
        </w:r>
        <w:r w:rsidR="00E20E7D">
          <w:rPr>
            <w:noProof/>
            <w:webHidden/>
          </w:rPr>
          <w:tab/>
        </w:r>
        <w:r w:rsidR="00E20E7D">
          <w:rPr>
            <w:noProof/>
            <w:webHidden/>
          </w:rPr>
          <w:fldChar w:fldCharType="begin"/>
        </w:r>
        <w:r w:rsidR="00E20E7D">
          <w:rPr>
            <w:noProof/>
            <w:webHidden/>
          </w:rPr>
          <w:instrText xml:space="preserve"> PAGEREF _Toc516050190 \h </w:instrText>
        </w:r>
        <w:r w:rsidR="00E20E7D">
          <w:rPr>
            <w:noProof/>
            <w:webHidden/>
          </w:rPr>
        </w:r>
        <w:r w:rsidR="00E20E7D">
          <w:rPr>
            <w:noProof/>
            <w:webHidden/>
          </w:rPr>
          <w:fldChar w:fldCharType="separate"/>
        </w:r>
        <w:r w:rsidR="00E20E7D">
          <w:rPr>
            <w:noProof/>
            <w:webHidden/>
          </w:rPr>
          <w:t>57</w:t>
        </w:r>
        <w:r w:rsidR="00E20E7D">
          <w:rPr>
            <w:noProof/>
            <w:webHidden/>
          </w:rPr>
          <w:fldChar w:fldCharType="end"/>
        </w:r>
      </w:hyperlink>
    </w:p>
    <w:p w:rsidR="00E20E7D" w:rsidRDefault="00670BA2">
      <w:pPr>
        <w:pStyle w:val="TOC1"/>
        <w:rPr>
          <w:rFonts w:asciiTheme="minorHAnsi" w:eastAsiaTheme="minorEastAsia" w:hAnsiTheme="minorHAnsi" w:cstheme="minorBidi"/>
          <w:noProof/>
          <w:color w:val="auto"/>
          <w:spacing w:val="0"/>
          <w:sz w:val="22"/>
          <w:szCs w:val="22"/>
        </w:rPr>
      </w:pPr>
      <w:hyperlink w:anchor="_Toc516050191" w:history="1">
        <w:r w:rsidR="00E20E7D" w:rsidRPr="00FF0AA4">
          <w:rPr>
            <w:rStyle w:val="Hyperlink"/>
            <w:noProof/>
          </w:rPr>
          <w:t>Figure Descriptions</w:t>
        </w:r>
        <w:r w:rsidR="00E20E7D">
          <w:rPr>
            <w:noProof/>
            <w:webHidden/>
          </w:rPr>
          <w:tab/>
        </w:r>
        <w:r w:rsidR="00E20E7D">
          <w:rPr>
            <w:noProof/>
            <w:webHidden/>
          </w:rPr>
          <w:fldChar w:fldCharType="begin"/>
        </w:r>
        <w:r w:rsidR="00E20E7D">
          <w:rPr>
            <w:noProof/>
            <w:webHidden/>
          </w:rPr>
          <w:instrText xml:space="preserve"> PAGEREF _Toc516050191 \h </w:instrText>
        </w:r>
        <w:r w:rsidR="00E20E7D">
          <w:rPr>
            <w:noProof/>
            <w:webHidden/>
          </w:rPr>
        </w:r>
        <w:r w:rsidR="00E20E7D">
          <w:rPr>
            <w:noProof/>
            <w:webHidden/>
          </w:rPr>
          <w:fldChar w:fldCharType="separate"/>
        </w:r>
        <w:r w:rsidR="00E20E7D">
          <w:rPr>
            <w:noProof/>
            <w:webHidden/>
          </w:rPr>
          <w:t>58</w:t>
        </w:r>
        <w:r w:rsidR="00E20E7D">
          <w:rPr>
            <w:noProof/>
            <w:webHidden/>
          </w:rPr>
          <w:fldChar w:fldCharType="end"/>
        </w:r>
      </w:hyperlink>
    </w:p>
    <w:p w:rsidR="004A4D2E" w:rsidRDefault="00DD11DD" w:rsidP="004A4D2E">
      <w:r>
        <w:fldChar w:fldCharType="end"/>
      </w:r>
      <w:bookmarkStart w:id="32" w:name="_Toc431551813"/>
      <w:bookmarkStart w:id="33" w:name="_Toc431553403"/>
      <w:bookmarkStart w:id="34" w:name="_Toc431564043"/>
      <w:bookmarkStart w:id="35" w:name="_Toc431810193"/>
      <w:bookmarkStart w:id="36" w:name="_Toc431986493"/>
      <w:bookmarkStart w:id="37" w:name="_Toc432978346"/>
      <w:bookmarkStart w:id="38" w:name="_Toc433121729"/>
      <w:bookmarkStart w:id="39" w:name="_Toc464570231"/>
      <w:bookmarkStart w:id="40" w:name="_Toc464570389"/>
      <w:bookmarkStart w:id="41" w:name="_Toc464638805"/>
      <w:bookmarkStart w:id="42" w:name="_Toc477964688"/>
    </w:p>
    <w:p w:rsidR="004A4D2E" w:rsidRDefault="004A4D2E">
      <w:pPr>
        <w:keepLines w:val="0"/>
        <w:spacing w:after="0" w:line="240" w:lineRule="auto"/>
      </w:pPr>
      <w:r>
        <w:br w:type="page"/>
      </w:r>
    </w:p>
    <w:p w:rsidR="00FA4E06" w:rsidRPr="00500F57" w:rsidRDefault="00FA4E06" w:rsidP="004A4D2E">
      <w:pPr>
        <w:pStyle w:val="Heading1"/>
      </w:pPr>
      <w:bookmarkStart w:id="43" w:name="_Toc516050176"/>
      <w:r w:rsidRPr="00500F57">
        <w:lastRenderedPageBreak/>
        <w:t>Acknowledgements</w:t>
      </w:r>
      <w:bookmarkEnd w:id="32"/>
      <w:bookmarkEnd w:id="33"/>
      <w:bookmarkEnd w:id="34"/>
      <w:bookmarkEnd w:id="35"/>
      <w:bookmarkEnd w:id="36"/>
      <w:bookmarkEnd w:id="37"/>
      <w:bookmarkEnd w:id="38"/>
      <w:bookmarkEnd w:id="39"/>
      <w:bookmarkEnd w:id="40"/>
      <w:bookmarkEnd w:id="41"/>
      <w:bookmarkEnd w:id="42"/>
      <w:bookmarkEnd w:id="43"/>
    </w:p>
    <w:p w:rsidR="004A4D2E" w:rsidRDefault="00FA4E06" w:rsidP="0015554B">
      <w:r w:rsidRPr="00500F57">
        <w:t xml:space="preserve">We are grateful to all those who provided input and feedback </w:t>
      </w:r>
      <w:r>
        <w:t>for</w:t>
      </w:r>
      <w:r w:rsidRPr="00500F57">
        <w:t xml:space="preserve"> this report. While </w:t>
      </w:r>
      <w:r>
        <w:t>any</w:t>
      </w:r>
      <w:r w:rsidRPr="00500F57">
        <w:t xml:space="preserve"> errors and omissions remain ours, we thank the following organisations for their contributions: </w:t>
      </w:r>
      <w:r>
        <w:t xml:space="preserve">the </w:t>
      </w:r>
      <w:r w:rsidRPr="00500F57">
        <w:t xml:space="preserve">Department of Health and Human Services—Sport and Recreation Victoria, </w:t>
      </w:r>
      <w:r>
        <w:t xml:space="preserve">the </w:t>
      </w:r>
      <w:r w:rsidRPr="00500F57">
        <w:t>Department of Economic Development, Jobs, Transport</w:t>
      </w:r>
      <w:r>
        <w:t xml:space="preserve"> and Resources</w:t>
      </w:r>
      <w:r w:rsidRPr="00500F57">
        <w:t>; Parks Victoria; Regional Development Victoria; Tourism Victoria; Tourism Research Australia.</w:t>
      </w:r>
      <w:bookmarkStart w:id="44" w:name="_Toc431564044"/>
      <w:bookmarkStart w:id="45" w:name="_Toc477964689"/>
    </w:p>
    <w:p w:rsidR="004A4D2E" w:rsidRDefault="004A4D2E">
      <w:pPr>
        <w:keepLines w:val="0"/>
        <w:spacing w:after="0" w:line="240" w:lineRule="auto"/>
      </w:pPr>
      <w:r>
        <w:br w:type="page"/>
      </w:r>
    </w:p>
    <w:p w:rsidR="00000A6E" w:rsidRPr="00500F57" w:rsidRDefault="00000A6E" w:rsidP="004A4D2E">
      <w:pPr>
        <w:pStyle w:val="Heading1"/>
      </w:pPr>
      <w:bookmarkStart w:id="46" w:name="_Toc516050177"/>
      <w:r w:rsidRPr="00500F57">
        <w:lastRenderedPageBreak/>
        <w:t>Introduction</w:t>
      </w:r>
      <w:bookmarkEnd w:id="44"/>
      <w:bookmarkEnd w:id="45"/>
      <w:bookmarkEnd w:id="46"/>
    </w:p>
    <w:p w:rsidR="00D55005" w:rsidRPr="009F0FF4" w:rsidRDefault="008E475F" w:rsidP="002F27A9">
      <w:pPr>
        <w:rPr>
          <w:rStyle w:val="Emphasis"/>
        </w:rPr>
      </w:pPr>
      <w:r w:rsidRPr="009F0FF4">
        <w:rPr>
          <w:rStyle w:val="Emphasis"/>
        </w:rPr>
        <w:t>A</w:t>
      </w:r>
      <w:r w:rsidR="00D8149B" w:rsidRPr="009F0FF4">
        <w:rPr>
          <w:rStyle w:val="Emphasis"/>
        </w:rPr>
        <w:t xml:space="preserve">round </w:t>
      </w:r>
      <w:r w:rsidR="003B4E03" w:rsidRPr="009F0FF4">
        <w:rPr>
          <w:rStyle w:val="Emphasis"/>
        </w:rPr>
        <w:t>3.</w:t>
      </w:r>
      <w:r w:rsidR="0047106F" w:rsidRPr="009F0FF4">
        <w:rPr>
          <w:rStyle w:val="Emphasis"/>
        </w:rPr>
        <w:t>4 </w:t>
      </w:r>
      <w:r w:rsidR="00D55005" w:rsidRPr="009F0FF4">
        <w:rPr>
          <w:rStyle w:val="Emphasis"/>
        </w:rPr>
        <w:t>m</w:t>
      </w:r>
      <w:r w:rsidR="00627F97" w:rsidRPr="009F0FF4">
        <w:rPr>
          <w:rStyle w:val="Emphasis"/>
        </w:rPr>
        <w:t>illion</w:t>
      </w:r>
      <w:r w:rsidR="00F663D2" w:rsidRPr="009F0FF4">
        <w:rPr>
          <w:rStyle w:val="Emphasis"/>
        </w:rPr>
        <w:t xml:space="preserve"> Victorian</w:t>
      </w:r>
      <w:r w:rsidR="00A27F97" w:rsidRPr="009F0FF4">
        <w:rPr>
          <w:rStyle w:val="Emphasis"/>
        </w:rPr>
        <w:t>s</w:t>
      </w:r>
      <w:r w:rsidRPr="009F0FF4">
        <w:rPr>
          <w:rStyle w:val="Emphasis"/>
        </w:rPr>
        <w:t xml:space="preserve"> are</w:t>
      </w:r>
      <w:r w:rsidR="006606EA" w:rsidRPr="009F0FF4">
        <w:rPr>
          <w:rStyle w:val="Emphasis"/>
        </w:rPr>
        <w:t xml:space="preserve"> not</w:t>
      </w:r>
      <w:r w:rsidRPr="009F0FF4">
        <w:rPr>
          <w:rStyle w:val="Emphasis"/>
        </w:rPr>
        <w:t xml:space="preserve"> </w:t>
      </w:r>
      <w:r w:rsidR="00B02D15" w:rsidRPr="009F0FF4">
        <w:rPr>
          <w:rStyle w:val="Emphasis"/>
        </w:rPr>
        <w:t xml:space="preserve">doing </w:t>
      </w:r>
      <w:r w:rsidRPr="009F0FF4">
        <w:rPr>
          <w:rStyle w:val="Emphasis"/>
        </w:rPr>
        <w:t>enough physical activity</w:t>
      </w:r>
      <w:r w:rsidR="00D8149B" w:rsidRPr="009F0FF4">
        <w:rPr>
          <w:rStyle w:val="Emphasis"/>
        </w:rPr>
        <w:t>.</w:t>
      </w:r>
    </w:p>
    <w:p w:rsidR="00627F97" w:rsidRPr="00500F57" w:rsidRDefault="00627F97" w:rsidP="002F27A9">
      <w:r w:rsidRPr="00500F57">
        <w:t xml:space="preserve">Australian Government guidelines recommend that adults </w:t>
      </w:r>
      <w:r w:rsidR="00F019F5">
        <w:t>be</w:t>
      </w:r>
      <w:r w:rsidR="00F019F5" w:rsidRPr="00500F57">
        <w:t xml:space="preserve"> </w:t>
      </w:r>
      <w:r w:rsidRPr="00500F57">
        <w:t>physically active on most days of the week and accumulate between 15</w:t>
      </w:r>
      <w:r w:rsidR="00D55005" w:rsidRPr="00500F57">
        <w:t>0 m</w:t>
      </w:r>
      <w:r w:rsidRPr="00500F57">
        <w:t>inutes and 30</w:t>
      </w:r>
      <w:r w:rsidR="00D55005" w:rsidRPr="00500F57">
        <w:t>0 m</w:t>
      </w:r>
      <w:r w:rsidRPr="00500F57">
        <w:t>inutes of moderate</w:t>
      </w:r>
      <w:r w:rsidR="00F019F5">
        <w:t>-</w:t>
      </w:r>
      <w:r w:rsidRPr="00500F57">
        <w:t>intensity physical activity over the week</w:t>
      </w:r>
      <w:r w:rsidR="007719BC">
        <w:t xml:space="preserve"> (Commonwealth of Australia, 2011)</w:t>
      </w:r>
      <w:r w:rsidRPr="00500F57">
        <w:t>.</w:t>
      </w:r>
      <w:r w:rsidR="00D55005" w:rsidRPr="00500F57">
        <w:t xml:space="preserve"> </w:t>
      </w:r>
      <w:r w:rsidR="00C3643F" w:rsidRPr="00500F57">
        <w:t xml:space="preserve">Adults who do not achieve this level of physical activity are </w:t>
      </w:r>
      <w:r w:rsidR="00F019F5">
        <w:t xml:space="preserve">considered to be </w:t>
      </w:r>
      <w:r w:rsidR="00C3643F" w:rsidRPr="00500F57">
        <w:t>physically inactive.</w:t>
      </w:r>
    </w:p>
    <w:p w:rsidR="00627F97" w:rsidRPr="00500F57" w:rsidRDefault="00A8556C" w:rsidP="002F27A9">
      <w:r w:rsidRPr="00500F57">
        <w:t>In Victoria in 2011 (the most recent</w:t>
      </w:r>
      <w:r w:rsidR="00F019F5">
        <w:t xml:space="preserve"> year for which</w:t>
      </w:r>
      <w:r w:rsidRPr="00500F57">
        <w:t xml:space="preserve"> survey results </w:t>
      </w:r>
      <w:r w:rsidR="00F019F5">
        <w:t xml:space="preserve">are </w:t>
      </w:r>
      <w:r w:rsidRPr="00500F57">
        <w:t>available)</w:t>
      </w:r>
      <w:r w:rsidR="00F019F5">
        <w:t>,</w:t>
      </w:r>
      <w:r w:rsidR="00B07538" w:rsidRPr="00500F57">
        <w:t xml:space="preserve"> around </w:t>
      </w:r>
      <w:r w:rsidR="003B4E03" w:rsidRPr="00500F57">
        <w:t>50</w:t>
      </w:r>
      <w:r w:rsidR="002D30BA">
        <w:t xml:space="preserve"> per cent</w:t>
      </w:r>
      <w:r w:rsidR="00627F97" w:rsidRPr="00500F57">
        <w:t xml:space="preserve"> of the adult population </w:t>
      </w:r>
      <w:r w:rsidRPr="00500F57">
        <w:t>reported</w:t>
      </w:r>
      <w:r w:rsidR="00627F97" w:rsidRPr="00500F57">
        <w:t xml:space="preserve"> physical activity levels</w:t>
      </w:r>
      <w:r w:rsidRPr="00500F57">
        <w:t xml:space="preserve"> below the recommended minimum, and</w:t>
      </w:r>
      <w:r w:rsidR="00627F97" w:rsidRPr="00500F57">
        <w:t xml:space="preserve"> </w:t>
      </w:r>
      <w:r w:rsidRPr="00500F57">
        <w:t>80</w:t>
      </w:r>
      <w:r w:rsidR="002D30BA">
        <w:t xml:space="preserve"> per cent</w:t>
      </w:r>
      <w:r w:rsidR="00627F97" w:rsidRPr="00500F57">
        <w:t xml:space="preserve"> of </w:t>
      </w:r>
      <w:r w:rsidR="00F019F5">
        <w:t>5–</w:t>
      </w:r>
      <w:r w:rsidR="00627F97" w:rsidRPr="00500F57">
        <w:t>17</w:t>
      </w:r>
      <w:r w:rsidR="00F019F5">
        <w:t>-</w:t>
      </w:r>
      <w:r w:rsidR="00627F97" w:rsidRPr="00500F57">
        <w:t>year</w:t>
      </w:r>
      <w:r w:rsidR="00F019F5">
        <w:t>-</w:t>
      </w:r>
      <w:r w:rsidR="00627F97" w:rsidRPr="00500F57">
        <w:t xml:space="preserve">olds </w:t>
      </w:r>
      <w:r w:rsidRPr="00500F57">
        <w:t>did</w:t>
      </w:r>
      <w:r w:rsidR="00F019F5">
        <w:t xml:space="preserve"> </w:t>
      </w:r>
      <w:r w:rsidRPr="00500F57">
        <w:t>n</w:t>
      </w:r>
      <w:r w:rsidR="00F019F5">
        <w:t>o</w:t>
      </w:r>
      <w:r w:rsidRPr="00500F57">
        <w:t>t</w:t>
      </w:r>
      <w:r w:rsidR="00627F97" w:rsidRPr="00500F57">
        <w:t xml:space="preserve"> meet the Australian guideline of 6</w:t>
      </w:r>
      <w:r w:rsidR="00D55005" w:rsidRPr="00500F57">
        <w:t>0 m</w:t>
      </w:r>
      <w:r w:rsidR="00627F97" w:rsidRPr="00500F57">
        <w:t>inutes</w:t>
      </w:r>
      <w:r w:rsidRPr="00500F57">
        <w:t xml:space="preserve"> of physical exercise</w:t>
      </w:r>
      <w:r w:rsidR="00627F97" w:rsidRPr="00500F57">
        <w:t xml:space="preserve"> every day</w:t>
      </w:r>
      <w:r w:rsidR="007719BC">
        <w:t xml:space="preserve"> (VicHealth, 2016)</w:t>
      </w:r>
      <w:r w:rsidR="008C41BA" w:rsidRPr="00500F57">
        <w:t xml:space="preserve">. Assuming </w:t>
      </w:r>
      <w:r w:rsidR="00F019F5">
        <w:t xml:space="preserve">that </w:t>
      </w:r>
      <w:r w:rsidR="008C41BA" w:rsidRPr="00500F57">
        <w:t>th</w:t>
      </w:r>
      <w:r w:rsidR="00F019F5">
        <w:t>o</w:t>
      </w:r>
      <w:r w:rsidR="008C41BA" w:rsidRPr="00500F57">
        <w:t xml:space="preserve">se participation rates </w:t>
      </w:r>
      <w:r w:rsidR="0012669D" w:rsidRPr="00500F57">
        <w:t>are about the same today</w:t>
      </w:r>
      <w:r w:rsidR="00F019F5">
        <w:t>, this</w:t>
      </w:r>
      <w:r w:rsidR="0012669D" w:rsidRPr="00500F57">
        <w:t xml:space="preserve"> implies</w:t>
      </w:r>
      <w:r w:rsidR="008C41BA" w:rsidRPr="00500F57">
        <w:t xml:space="preserve"> that</w:t>
      </w:r>
      <w:r w:rsidRPr="00500F57">
        <w:t xml:space="preserve"> </w:t>
      </w:r>
      <w:r w:rsidRPr="00B31BD1">
        <w:t xml:space="preserve">in </w:t>
      </w:r>
      <w:r w:rsidR="0047106F" w:rsidRPr="00B31BD1">
        <w:t>201</w:t>
      </w:r>
      <w:r w:rsidR="0047106F">
        <w:t>7</w:t>
      </w:r>
      <w:r w:rsidR="0047106F" w:rsidRPr="00B31BD1">
        <w:t xml:space="preserve"> </w:t>
      </w:r>
      <w:r w:rsidR="003B4E03" w:rsidRPr="00B31BD1">
        <w:t>around 3.</w:t>
      </w:r>
      <w:r w:rsidR="0047106F">
        <w:t>4</w:t>
      </w:r>
      <w:r w:rsidR="0047106F" w:rsidRPr="00B31BD1">
        <w:t> </w:t>
      </w:r>
      <w:r w:rsidR="00D55005" w:rsidRPr="00B31BD1">
        <w:t>m</w:t>
      </w:r>
      <w:r w:rsidR="008C41BA" w:rsidRPr="00B31BD1">
        <w:t>illion Victorians are not</w:t>
      </w:r>
      <w:r w:rsidR="008C41BA" w:rsidRPr="00500F57">
        <w:t xml:space="preserve"> </w:t>
      </w:r>
      <w:r w:rsidR="00B31BD1">
        <w:t>doing</w:t>
      </w:r>
      <w:r w:rsidR="008C41BA" w:rsidRPr="00500F57">
        <w:t xml:space="preserve"> enough physical activity.</w:t>
      </w:r>
    </w:p>
    <w:p w:rsidR="00D55005" w:rsidRPr="00500F57" w:rsidRDefault="004E51EE" w:rsidP="002F27A9">
      <w:r w:rsidRPr="00500F57">
        <w:t xml:space="preserve">There is clear evidence </w:t>
      </w:r>
      <w:r w:rsidR="00A14A17" w:rsidRPr="00500F57">
        <w:t>that physical activity</w:t>
      </w:r>
      <w:r w:rsidRPr="00500F57">
        <w:t xml:space="preserve"> is important fo</w:t>
      </w:r>
      <w:r w:rsidR="00A44A20" w:rsidRPr="00500F57">
        <w:t>r physical and mental health</w:t>
      </w:r>
      <w:r w:rsidR="00A14A17" w:rsidRPr="00500F57">
        <w:t xml:space="preserve"> and provides a range of other social and </w:t>
      </w:r>
      <w:r w:rsidR="00A44A20" w:rsidRPr="00500F57">
        <w:t>community benefits. Much of the</w:t>
      </w:r>
      <w:r w:rsidR="00A14A17" w:rsidRPr="00500F57">
        <w:t xml:space="preserve"> </w:t>
      </w:r>
      <w:r w:rsidR="00A44A20" w:rsidRPr="00500F57">
        <w:t xml:space="preserve">international, Australian and Victorian </w:t>
      </w:r>
      <w:r w:rsidR="00A14A17" w:rsidRPr="00500F57">
        <w:t>evidence</w:t>
      </w:r>
      <w:r w:rsidR="00A44A20" w:rsidRPr="00500F57">
        <w:t xml:space="preserve"> showing th</w:t>
      </w:r>
      <w:r w:rsidR="00F019F5">
        <w:t>o</w:t>
      </w:r>
      <w:r w:rsidR="00A44A20" w:rsidRPr="00500F57">
        <w:t>se benefits</w:t>
      </w:r>
      <w:r w:rsidRPr="00500F57">
        <w:t xml:space="preserve"> has been summarised in the recent VicHealth report</w:t>
      </w:r>
      <w:r w:rsidR="00F019F5">
        <w:t>,</w:t>
      </w:r>
      <w:r w:rsidRPr="00500F57">
        <w:t xml:space="preserve"> </w:t>
      </w:r>
      <w:r w:rsidRPr="00500F57">
        <w:rPr>
          <w:i/>
        </w:rPr>
        <w:t>Physical activity and sedentary behaviour</w:t>
      </w:r>
      <w:r w:rsidR="00F019F5">
        <w:rPr>
          <w:i/>
        </w:rPr>
        <w:t>:</w:t>
      </w:r>
      <w:r w:rsidRPr="00500F57">
        <w:rPr>
          <w:i/>
        </w:rPr>
        <w:t xml:space="preserve"> </w:t>
      </w:r>
      <w:r w:rsidR="00F019F5">
        <w:rPr>
          <w:i/>
        </w:rPr>
        <w:t>e</w:t>
      </w:r>
      <w:r w:rsidRPr="00500F57">
        <w:rPr>
          <w:i/>
        </w:rPr>
        <w:t>vidence summary</w:t>
      </w:r>
      <w:r w:rsidR="007719BC">
        <w:t xml:space="preserve"> (VicHealth, 2016)</w:t>
      </w:r>
      <w:r w:rsidRPr="00500F57">
        <w:t>.</w:t>
      </w:r>
    </w:p>
    <w:p w:rsidR="00D55005" w:rsidRPr="00500F57" w:rsidRDefault="004E51EE" w:rsidP="002F27A9">
      <w:r w:rsidRPr="00500F57">
        <w:t xml:space="preserve">We know that </w:t>
      </w:r>
      <w:r w:rsidR="005404CC" w:rsidRPr="00500F57">
        <w:t>physical</w:t>
      </w:r>
      <w:r w:rsidR="00A14A17" w:rsidRPr="00500F57">
        <w:t xml:space="preserve"> </w:t>
      </w:r>
      <w:r w:rsidR="000075A9" w:rsidRPr="00500F57">
        <w:t xml:space="preserve">activity </w:t>
      </w:r>
      <w:r w:rsidRPr="00500F57">
        <w:t>reduces the risk of</w:t>
      </w:r>
      <w:r w:rsidR="000075A9" w:rsidRPr="00500F57">
        <w:t xml:space="preserve"> cardiovascular disease, ischaemic stroke, diabetes mellitus, colon cancer, osteoporosis, fall-related injur</w:t>
      </w:r>
      <w:r w:rsidR="004F1839">
        <w:t>y</w:t>
      </w:r>
      <w:r w:rsidRPr="00500F57">
        <w:t>, obesity, high cholesterol and hypertension,</w:t>
      </w:r>
      <w:r w:rsidR="000075A9" w:rsidRPr="00500F57">
        <w:t xml:space="preserve"> and mental health problems </w:t>
      </w:r>
      <w:r w:rsidR="004F1839">
        <w:t>such as</w:t>
      </w:r>
      <w:r w:rsidR="004F1839" w:rsidRPr="00500F57">
        <w:t xml:space="preserve"> </w:t>
      </w:r>
      <w:r w:rsidR="000075A9" w:rsidRPr="00500F57">
        <w:t>depression</w:t>
      </w:r>
      <w:r w:rsidR="007719BC">
        <w:t xml:space="preserve"> (Ding et al., 2016)</w:t>
      </w:r>
      <w:r w:rsidRPr="00500F57">
        <w:t>.</w:t>
      </w:r>
    </w:p>
    <w:p w:rsidR="00D55005" w:rsidRPr="00500F57" w:rsidRDefault="004E51EE" w:rsidP="002F27A9">
      <w:r w:rsidRPr="00500F57">
        <w:t xml:space="preserve">We also know that </w:t>
      </w:r>
      <w:r w:rsidR="004F1839">
        <w:t>among</w:t>
      </w:r>
      <w:r w:rsidR="004F1839" w:rsidRPr="00500F57">
        <w:t xml:space="preserve"> </w:t>
      </w:r>
      <w:r w:rsidR="00A14A17" w:rsidRPr="00500F57">
        <w:t>the elderly</w:t>
      </w:r>
      <w:r w:rsidRPr="00500F57">
        <w:t xml:space="preserve"> physical activity </w:t>
      </w:r>
      <w:r w:rsidR="00A14A17" w:rsidRPr="00500F57">
        <w:t>promotes</w:t>
      </w:r>
      <w:r w:rsidRPr="00500F57">
        <w:t xml:space="preserve"> muscle strength</w:t>
      </w:r>
      <w:r w:rsidR="004F1839">
        <w:t xml:space="preserve"> and</w:t>
      </w:r>
      <w:r w:rsidRPr="00500F57">
        <w:t xml:space="preserve"> aerobic capacity </w:t>
      </w:r>
      <w:r w:rsidR="00A14A17" w:rsidRPr="00500F57">
        <w:t>and reduces</w:t>
      </w:r>
      <w:r w:rsidRPr="00500F57">
        <w:t xml:space="preserve"> fracture risk</w:t>
      </w:r>
      <w:r w:rsidR="00A14A17" w:rsidRPr="00500F57">
        <w:t>s</w:t>
      </w:r>
      <w:r w:rsidR="007719BC">
        <w:t xml:space="preserve"> (</w:t>
      </w:r>
      <w:proofErr w:type="spellStart"/>
      <w:r w:rsidR="007719BC">
        <w:t>Cadilhac</w:t>
      </w:r>
      <w:proofErr w:type="spellEnd"/>
      <w:r w:rsidR="007719BC">
        <w:t xml:space="preserve"> et al., 2009)</w:t>
      </w:r>
      <w:r w:rsidR="00023E23" w:rsidRPr="00500F57">
        <w:t xml:space="preserve">. </w:t>
      </w:r>
      <w:r w:rsidR="008B6642" w:rsidRPr="00500F57">
        <w:t>Ch</w:t>
      </w:r>
      <w:r w:rsidRPr="00500F57">
        <w:t>ildren</w:t>
      </w:r>
      <w:r w:rsidR="008B6642" w:rsidRPr="00500F57">
        <w:t xml:space="preserve"> who are physically active have lower </w:t>
      </w:r>
      <w:r w:rsidR="00A14A17" w:rsidRPr="00500F57">
        <w:t xml:space="preserve">risk of </w:t>
      </w:r>
      <w:r w:rsidR="008B6642" w:rsidRPr="00500F57">
        <w:t>obesity and better overall fitness, bone health and cognitive performance</w:t>
      </w:r>
      <w:r w:rsidR="00A14A17" w:rsidRPr="00500F57">
        <w:t xml:space="preserve">, and are more likely to be physically active </w:t>
      </w:r>
      <w:r w:rsidR="005404CC" w:rsidRPr="00500F57">
        <w:t>adolescents</w:t>
      </w:r>
      <w:r w:rsidR="00A14A17" w:rsidRPr="00500F57">
        <w:t xml:space="preserve"> and adults</w:t>
      </w:r>
      <w:r w:rsidR="00CA4BAD">
        <w:t xml:space="preserve"> (VicHealth, 2016)</w:t>
      </w:r>
      <w:r w:rsidR="008B6642" w:rsidRPr="00500F57">
        <w:t>.</w:t>
      </w:r>
    </w:p>
    <w:p w:rsidR="00D55005" w:rsidRPr="00500F57" w:rsidRDefault="00A14A17" w:rsidP="002F27A9">
      <w:r w:rsidRPr="00500F57">
        <w:t>E</w:t>
      </w:r>
      <w:r w:rsidR="008B6642" w:rsidRPr="00500F57">
        <w:t>vidence shows that t</w:t>
      </w:r>
      <w:r w:rsidR="006C0B79" w:rsidRPr="00500F57">
        <w:t>here appears to be a relatively short time lag between increasing physical activity and observing the benefits</w:t>
      </w:r>
      <w:r w:rsidR="007719BC">
        <w:t xml:space="preserve"> (</w:t>
      </w:r>
      <w:proofErr w:type="spellStart"/>
      <w:r w:rsidR="007719BC">
        <w:t>Cadilhac</w:t>
      </w:r>
      <w:proofErr w:type="spellEnd"/>
      <w:r w:rsidR="007719BC">
        <w:t xml:space="preserve"> et al., 2009)</w:t>
      </w:r>
      <w:r w:rsidR="006C0B79" w:rsidRPr="00500F57">
        <w:t>.</w:t>
      </w:r>
      <w:r w:rsidR="00D55005" w:rsidRPr="00500F57">
        <w:t xml:space="preserve"> </w:t>
      </w:r>
      <w:r w:rsidR="00023E23" w:rsidRPr="00500F57">
        <w:t>Conversely</w:t>
      </w:r>
      <w:r w:rsidR="006C0B79" w:rsidRPr="00500F57">
        <w:t>, long periods of sedentary behaviour in between exercise can negate the benefits of physical activity</w:t>
      </w:r>
      <w:r w:rsidR="007719BC">
        <w:t xml:space="preserve"> (Medibank Private </w:t>
      </w:r>
      <w:r w:rsidR="004F1839">
        <w:t xml:space="preserve">&amp; </w:t>
      </w:r>
      <w:r w:rsidR="007719BC">
        <w:t>KMPG-</w:t>
      </w:r>
      <w:proofErr w:type="spellStart"/>
      <w:r w:rsidR="007719BC">
        <w:t>E</w:t>
      </w:r>
      <w:r w:rsidR="00154F7C">
        <w:t>c</w:t>
      </w:r>
      <w:r w:rsidR="007719BC">
        <w:t>ontech</w:t>
      </w:r>
      <w:proofErr w:type="spellEnd"/>
      <w:r w:rsidR="007719BC">
        <w:t>, 2008)</w:t>
      </w:r>
      <w:r w:rsidR="004E51EE" w:rsidRPr="00500F57">
        <w:t>.</w:t>
      </w:r>
    </w:p>
    <w:p w:rsidR="00A14A17" w:rsidRPr="00500F57" w:rsidRDefault="000075A9" w:rsidP="002F27A9">
      <w:pPr>
        <w:rPr>
          <w:rFonts w:cs="Calibri"/>
          <w:iCs/>
        </w:rPr>
      </w:pPr>
      <w:r w:rsidRPr="00500F57">
        <w:t>Active recreation</w:t>
      </w:r>
      <w:r w:rsidR="00495AE1" w:rsidRPr="00500F57">
        <w:t xml:space="preserve"> is </w:t>
      </w:r>
      <w:r w:rsidR="00A14A17" w:rsidRPr="00500F57">
        <w:t>a significant part of many</w:t>
      </w:r>
      <w:r w:rsidRPr="00500F57">
        <w:t xml:space="preserve"> </w:t>
      </w:r>
      <w:r w:rsidR="00023E23" w:rsidRPr="00500F57">
        <w:t>Victorians</w:t>
      </w:r>
      <w:r w:rsidR="00A14A17" w:rsidRPr="00500F57">
        <w:t>’</w:t>
      </w:r>
      <w:r w:rsidR="00495AE1" w:rsidRPr="00500F57">
        <w:t xml:space="preserve"> physical activit</w:t>
      </w:r>
      <w:r w:rsidR="004309C9" w:rsidRPr="00500F57">
        <w:t>y</w:t>
      </w:r>
      <w:r w:rsidR="00495AE1" w:rsidRPr="00500F57">
        <w:t>.</w:t>
      </w:r>
      <w:r w:rsidR="00A14A17" w:rsidRPr="00500F57">
        <w:t xml:space="preserve"> </w:t>
      </w:r>
      <w:r w:rsidR="00A14A17" w:rsidRPr="00500F57">
        <w:rPr>
          <w:rFonts w:cs="Calibri"/>
          <w:iCs/>
        </w:rPr>
        <w:t>The a</w:t>
      </w:r>
      <w:r w:rsidR="00A14A17" w:rsidRPr="00500F57">
        <w:t xml:space="preserve">ctive recreation sector is </w:t>
      </w:r>
      <w:r w:rsidR="00552289">
        <w:t>extremely</w:t>
      </w:r>
      <w:r w:rsidR="00552289" w:rsidRPr="00500F57">
        <w:t xml:space="preserve"> </w:t>
      </w:r>
      <w:r w:rsidR="00A14A17" w:rsidRPr="00500F57">
        <w:t xml:space="preserve">diverse. </w:t>
      </w:r>
      <w:r w:rsidR="00552289">
        <w:t>A</w:t>
      </w:r>
      <w:r w:rsidR="00307165" w:rsidRPr="00500F57">
        <w:t>ctive recreation</w:t>
      </w:r>
      <w:r w:rsidR="00552289">
        <w:t xml:space="preserve"> (as distinct from sport) comprises</w:t>
      </w:r>
      <w:r w:rsidR="00A44A20" w:rsidRPr="00500F57">
        <w:t xml:space="preserve"> </w:t>
      </w:r>
      <w:r w:rsidR="005404CC" w:rsidRPr="00500F57">
        <w:t>physical</w:t>
      </w:r>
      <w:r w:rsidR="00A44A20" w:rsidRPr="00500F57">
        <w:t xml:space="preserve"> activities </w:t>
      </w:r>
      <w:r w:rsidR="00A14A17" w:rsidRPr="00500F57">
        <w:t>engaged in for the purpose of relaxation, health and wellbeing or enjoyment</w:t>
      </w:r>
      <w:r w:rsidR="00552289">
        <w:t>, in which</w:t>
      </w:r>
      <w:r w:rsidR="00A14A17" w:rsidRPr="00500F57">
        <w:t xml:space="preserve"> the primary activity requir</w:t>
      </w:r>
      <w:r w:rsidR="00552289">
        <w:t>es</w:t>
      </w:r>
      <w:r w:rsidR="00A14A17" w:rsidRPr="00500F57">
        <w:t xml:space="preserve"> physical exertion </w:t>
      </w:r>
      <w:r w:rsidR="00A44A20" w:rsidRPr="00500F57">
        <w:t xml:space="preserve">and </w:t>
      </w:r>
      <w:r w:rsidR="00A14A17" w:rsidRPr="00500F57">
        <w:t xml:space="preserve">the focus </w:t>
      </w:r>
      <w:r w:rsidR="00552289">
        <w:t xml:space="preserve">is </w:t>
      </w:r>
      <w:r w:rsidR="00A14A17" w:rsidRPr="00500F57">
        <w:t xml:space="preserve">on human </w:t>
      </w:r>
      <w:r w:rsidR="00A44A20" w:rsidRPr="00500F57">
        <w:t xml:space="preserve">physical </w:t>
      </w:r>
      <w:r w:rsidR="00A14A17" w:rsidRPr="00500F57">
        <w:t>activity</w:t>
      </w:r>
      <w:r w:rsidR="007719BC">
        <w:t xml:space="preserve"> (Commonwealth of Australia, 2011)</w:t>
      </w:r>
      <w:r w:rsidR="00A14A17" w:rsidRPr="00500F57">
        <w:rPr>
          <w:rFonts w:cs="Calibri"/>
          <w:iCs/>
        </w:rPr>
        <w:t xml:space="preserve">. </w:t>
      </w:r>
      <w:r w:rsidR="00552289">
        <w:t>It</w:t>
      </w:r>
      <w:r w:rsidR="00A44A20" w:rsidRPr="00500F57">
        <w:t xml:space="preserve"> can be </w:t>
      </w:r>
      <w:r w:rsidR="00552289">
        <w:t>done</w:t>
      </w:r>
      <w:r w:rsidR="00552289" w:rsidRPr="00500F57">
        <w:t xml:space="preserve"> </w:t>
      </w:r>
      <w:r w:rsidR="00A44A20" w:rsidRPr="00500F57">
        <w:t>alone or with others, and range</w:t>
      </w:r>
      <w:r w:rsidR="00552289">
        <w:t>s</w:t>
      </w:r>
      <w:r w:rsidR="00A44A20" w:rsidRPr="00500F57">
        <w:t xml:space="preserve"> from walking</w:t>
      </w:r>
      <w:r w:rsidR="00552289">
        <w:t>,</w:t>
      </w:r>
      <w:r w:rsidR="00A44A20" w:rsidRPr="00500F57">
        <w:t xml:space="preserve"> yoga </w:t>
      </w:r>
      <w:r w:rsidR="00552289">
        <w:t>and</w:t>
      </w:r>
      <w:r w:rsidR="00552289" w:rsidRPr="00500F57">
        <w:t xml:space="preserve"> </w:t>
      </w:r>
      <w:r w:rsidR="005404CC" w:rsidRPr="00500F57">
        <w:t>barefoot</w:t>
      </w:r>
      <w:r w:rsidR="00A44A20" w:rsidRPr="00500F57">
        <w:t xml:space="preserve"> </w:t>
      </w:r>
      <w:r w:rsidR="005404CC" w:rsidRPr="00500F57">
        <w:t>bowls</w:t>
      </w:r>
      <w:r w:rsidR="00A44A20" w:rsidRPr="00500F57">
        <w:t xml:space="preserve"> to non-</w:t>
      </w:r>
      <w:r w:rsidR="00231EC7" w:rsidRPr="00500F57">
        <w:t>competition</w:t>
      </w:r>
      <w:r w:rsidR="00A44A20" w:rsidRPr="00500F57">
        <w:t xml:space="preserve"> trail running, cycling</w:t>
      </w:r>
      <w:r w:rsidR="00552289">
        <w:t>,</w:t>
      </w:r>
      <w:r w:rsidR="00A44A20" w:rsidRPr="00500F57">
        <w:t xml:space="preserve"> parkour </w:t>
      </w:r>
      <w:r w:rsidR="00552289">
        <w:t>and</w:t>
      </w:r>
      <w:r w:rsidR="00552289" w:rsidRPr="00500F57">
        <w:t xml:space="preserve"> </w:t>
      </w:r>
      <w:r w:rsidR="00A44A20" w:rsidRPr="00500F57">
        <w:t>abseiling.</w:t>
      </w:r>
    </w:p>
    <w:p w:rsidR="00D55005" w:rsidRPr="00500F57" w:rsidRDefault="00667D30" w:rsidP="002F27A9">
      <w:r w:rsidRPr="00500F57">
        <w:lastRenderedPageBreak/>
        <w:t xml:space="preserve">Measured </w:t>
      </w:r>
      <w:r w:rsidR="00552289">
        <w:t>by</w:t>
      </w:r>
      <w:r w:rsidRPr="00500F57">
        <w:t xml:space="preserve"> the number of people participating or by total hours of participation, </w:t>
      </w:r>
      <w:r w:rsidR="004309C9" w:rsidRPr="00500F57">
        <w:t xml:space="preserve">active recreation </w:t>
      </w:r>
      <w:r w:rsidRPr="00500F57">
        <w:t xml:space="preserve">is </w:t>
      </w:r>
      <w:r w:rsidR="00F72406" w:rsidRPr="00500F57">
        <w:t>a much</w:t>
      </w:r>
      <w:r w:rsidRPr="00500F57">
        <w:t xml:space="preserve"> larger sector than sport. </w:t>
      </w:r>
      <w:r w:rsidR="005612E0">
        <w:t>It</w:t>
      </w:r>
      <w:r w:rsidRPr="00500F57">
        <w:t xml:space="preserve"> contributes</w:t>
      </w:r>
      <w:r w:rsidR="00F72406" w:rsidRPr="00500F57">
        <w:t xml:space="preserve"> </w:t>
      </w:r>
      <w:r w:rsidRPr="00500F57">
        <w:t>more</w:t>
      </w:r>
      <w:r w:rsidR="005612E0">
        <w:t xml:space="preserve"> than sport</w:t>
      </w:r>
      <w:r w:rsidRPr="00500F57">
        <w:t xml:space="preserve"> towards Victorians </w:t>
      </w:r>
      <w:r w:rsidR="005404CC" w:rsidRPr="00500F57">
        <w:t>achieving</w:t>
      </w:r>
      <w:r w:rsidR="00A44A20" w:rsidRPr="00500F57">
        <w:t xml:space="preserve"> the</w:t>
      </w:r>
      <w:r w:rsidRPr="00500F57">
        <w:t xml:space="preserve"> national guidelines for </w:t>
      </w:r>
      <w:bookmarkStart w:id="47" w:name="OpenAt"/>
      <w:bookmarkEnd w:id="47"/>
      <w:r w:rsidRPr="00500F57">
        <w:t xml:space="preserve">physical activity </w:t>
      </w:r>
      <w:r w:rsidR="00231EC7" w:rsidRPr="00500F57">
        <w:t xml:space="preserve">each </w:t>
      </w:r>
      <w:r w:rsidR="00F72406" w:rsidRPr="00500F57">
        <w:t>year</w:t>
      </w:r>
      <w:r w:rsidRPr="00500F57">
        <w:t>.</w:t>
      </w:r>
    </w:p>
    <w:p w:rsidR="00F72406" w:rsidRPr="00500F57" w:rsidRDefault="00F72406" w:rsidP="002F27A9">
      <w:r w:rsidRPr="00500F57">
        <w:t xml:space="preserve">Changes in </w:t>
      </w:r>
      <w:r w:rsidR="005404CC" w:rsidRPr="00500F57">
        <w:t>leisure</w:t>
      </w:r>
      <w:r w:rsidRPr="00500F57">
        <w:t xml:space="preserve"> time</w:t>
      </w:r>
      <w:r w:rsidR="005612E0">
        <w:t>,</w:t>
      </w:r>
      <w:r w:rsidRPr="00500F57">
        <w:t xml:space="preserve"> participation preferences</w:t>
      </w:r>
      <w:r w:rsidR="005612E0">
        <w:t xml:space="preserve"> and</w:t>
      </w:r>
      <w:r w:rsidRPr="00500F57">
        <w:t xml:space="preserve"> the composition of Victoria’s population mean that </w:t>
      </w:r>
      <w:r w:rsidR="005612E0">
        <w:t>fewer</w:t>
      </w:r>
      <w:r w:rsidR="005612E0" w:rsidRPr="00500F57">
        <w:t xml:space="preserve"> </w:t>
      </w:r>
      <w:r w:rsidR="00A44A20" w:rsidRPr="00500F57">
        <w:t>than one in three people</w:t>
      </w:r>
      <w:r w:rsidRPr="00500F57">
        <w:t xml:space="preserve"> aged 15 </w:t>
      </w:r>
      <w:r w:rsidR="005612E0">
        <w:t>or</w:t>
      </w:r>
      <w:r w:rsidR="005612E0" w:rsidRPr="00500F57">
        <w:t xml:space="preserve"> </w:t>
      </w:r>
      <w:r w:rsidRPr="00500F57">
        <w:t>over participate in organised sport.</w:t>
      </w:r>
      <w:r w:rsidR="00D55005" w:rsidRPr="00500F57">
        <w:t xml:space="preserve"> </w:t>
      </w:r>
      <w:r w:rsidR="005612E0">
        <w:t>T</w:t>
      </w:r>
      <w:r w:rsidRPr="00500F57">
        <w:t>h</w:t>
      </w:r>
      <w:r w:rsidR="005612E0">
        <w:t>o</w:t>
      </w:r>
      <w:r w:rsidRPr="00500F57">
        <w:t>se changes also mean that</w:t>
      </w:r>
      <w:r w:rsidR="005612E0">
        <w:t>, in the future,</w:t>
      </w:r>
      <w:r w:rsidRPr="00500F57">
        <w:t xml:space="preserve"> active recreation will be an increasingly important way to engage segments of the population not involved in </w:t>
      </w:r>
      <w:r w:rsidR="005404CC" w:rsidRPr="00500F57">
        <w:t>organised</w:t>
      </w:r>
      <w:r w:rsidRPr="00500F57">
        <w:t xml:space="preserve"> sport, particularly where opportunities </w:t>
      </w:r>
      <w:r w:rsidR="005612E0">
        <w:t xml:space="preserve">to participate </w:t>
      </w:r>
      <w:r w:rsidRPr="00500F57">
        <w:t>come with lower barriers to entry</w:t>
      </w:r>
      <w:r w:rsidR="005612E0">
        <w:t>,</w:t>
      </w:r>
      <w:r w:rsidRPr="00500F57">
        <w:t xml:space="preserve"> such as lower cost, more flexible time commitment or lower skill requirements.</w:t>
      </w:r>
    </w:p>
    <w:p w:rsidR="00D55005" w:rsidRPr="00500F57" w:rsidRDefault="005612E0" w:rsidP="002F27A9">
      <w:r>
        <w:t xml:space="preserve">Historically, </w:t>
      </w:r>
      <w:r w:rsidRPr="00500F57">
        <w:t>active recreation has received less</w:t>
      </w:r>
      <w:r>
        <w:t xml:space="preserve"> g</w:t>
      </w:r>
      <w:r w:rsidRPr="00500F57">
        <w:t>overnment policy focus and investment than sport</w:t>
      </w:r>
      <w:r>
        <w:t>,</w:t>
      </w:r>
      <w:r w:rsidRPr="00500F57">
        <w:t xml:space="preserve"> </w:t>
      </w:r>
      <w:r>
        <w:t>d</w:t>
      </w:r>
      <w:r w:rsidR="00667D30" w:rsidRPr="00500F57">
        <w:t xml:space="preserve">espite </w:t>
      </w:r>
      <w:r>
        <w:t>its</w:t>
      </w:r>
      <w:r w:rsidRPr="00500F57">
        <w:t xml:space="preserve"> </w:t>
      </w:r>
      <w:r w:rsidR="00667D30" w:rsidRPr="00500F57">
        <w:t xml:space="preserve">significance to Victorians and Victorian </w:t>
      </w:r>
      <w:r w:rsidR="00A44A20" w:rsidRPr="00500F57">
        <w:t xml:space="preserve">economic </w:t>
      </w:r>
      <w:r w:rsidR="005404CC" w:rsidRPr="00500F57">
        <w:t>activity</w:t>
      </w:r>
      <w:r w:rsidR="00A44A20" w:rsidRPr="00500F57">
        <w:t xml:space="preserve">, </w:t>
      </w:r>
      <w:r w:rsidR="00667D30" w:rsidRPr="00500F57">
        <w:t>health and wellbeing</w:t>
      </w:r>
      <w:r w:rsidR="004309C9" w:rsidRPr="00500F57">
        <w:t>.</w:t>
      </w:r>
    </w:p>
    <w:p w:rsidR="00D55005" w:rsidRPr="00500F57" w:rsidRDefault="004309C9" w:rsidP="002F27A9">
      <w:r w:rsidRPr="00500F57">
        <w:t>In part</w:t>
      </w:r>
      <w:r w:rsidR="005612E0">
        <w:t>,</w:t>
      </w:r>
      <w:r w:rsidRPr="00500F57">
        <w:t xml:space="preserve"> this </w:t>
      </w:r>
      <w:r w:rsidR="008644C0" w:rsidRPr="00500F57">
        <w:t xml:space="preserve">may </w:t>
      </w:r>
      <w:r w:rsidR="008B2189" w:rsidRPr="00500F57">
        <w:t xml:space="preserve">be attributed to </w:t>
      </w:r>
      <w:r w:rsidRPr="00500F57">
        <w:t>the informal and unorganised nature of active recreation compared to sport</w:t>
      </w:r>
      <w:r w:rsidR="00A44A20" w:rsidRPr="00500F57">
        <w:t xml:space="preserve">, and the </w:t>
      </w:r>
      <w:r w:rsidR="005404CC" w:rsidRPr="00500F57">
        <w:t>different</w:t>
      </w:r>
      <w:r w:rsidR="00A44A20" w:rsidRPr="00500F57">
        <w:t xml:space="preserve"> infrastructure and organisational </w:t>
      </w:r>
      <w:r w:rsidR="00054D1F" w:rsidRPr="00500F57">
        <w:t>investments that are the result.</w:t>
      </w:r>
      <w:r w:rsidRPr="00500F57">
        <w:t xml:space="preserve"> It also stems</w:t>
      </w:r>
      <w:r w:rsidR="005612E0">
        <w:t xml:space="preserve"> partly</w:t>
      </w:r>
      <w:r w:rsidRPr="00500F57">
        <w:t xml:space="preserve"> from Victoria lacking an </w:t>
      </w:r>
      <w:r w:rsidR="000E78B9" w:rsidRPr="00500F57">
        <w:t>ove</w:t>
      </w:r>
      <w:r w:rsidR="00744C14" w:rsidRPr="00500F57">
        <w:t>rarching and consistent</w:t>
      </w:r>
      <w:r w:rsidR="000E78B9" w:rsidRPr="00500F57">
        <w:t xml:space="preserve"> picture of </w:t>
      </w:r>
      <w:r w:rsidR="005612E0">
        <w:t>the state’s</w:t>
      </w:r>
      <w:r w:rsidR="005612E0" w:rsidRPr="00500F57">
        <w:t xml:space="preserve"> </w:t>
      </w:r>
      <w:r w:rsidR="00754771" w:rsidRPr="00500F57">
        <w:t>active recreation</w:t>
      </w:r>
      <w:r w:rsidR="00961566" w:rsidRPr="00500F57">
        <w:t xml:space="preserve"> </w:t>
      </w:r>
      <w:r w:rsidR="000E78B9" w:rsidRPr="00500F57">
        <w:t>sector</w:t>
      </w:r>
      <w:r w:rsidR="00D55005" w:rsidRPr="00500F57">
        <w:t>—</w:t>
      </w:r>
      <w:r w:rsidR="000E78B9" w:rsidRPr="00500F57">
        <w:t xml:space="preserve">covering </w:t>
      </w:r>
      <w:r w:rsidR="00961566" w:rsidRPr="00500F57">
        <w:t>participation</w:t>
      </w:r>
      <w:r w:rsidR="000E78B9" w:rsidRPr="00500F57">
        <w:t xml:space="preserve"> by activity</w:t>
      </w:r>
      <w:r w:rsidR="00961566" w:rsidRPr="00500F57">
        <w:t xml:space="preserve"> and the </w:t>
      </w:r>
      <w:r w:rsidR="007D523B" w:rsidRPr="00500F57">
        <w:t xml:space="preserve">economics of </w:t>
      </w:r>
      <w:r w:rsidR="00754771" w:rsidRPr="00500F57">
        <w:t>active recreation</w:t>
      </w:r>
      <w:r w:rsidR="007D523B" w:rsidRPr="00500F57">
        <w:t xml:space="preserve"> industries</w:t>
      </w:r>
      <w:r w:rsidR="00D55005" w:rsidRPr="00500F57">
        <w:t>—</w:t>
      </w:r>
      <w:r w:rsidR="00054D1F" w:rsidRPr="00500F57">
        <w:t xml:space="preserve">on </w:t>
      </w:r>
      <w:r w:rsidR="008644C0" w:rsidRPr="00500F57">
        <w:t xml:space="preserve">which </w:t>
      </w:r>
      <w:r w:rsidR="005612E0">
        <w:t xml:space="preserve">to frame </w:t>
      </w:r>
      <w:r w:rsidR="006606EA" w:rsidRPr="00500F57">
        <w:t>evidenc</w:t>
      </w:r>
      <w:r w:rsidR="00667D30" w:rsidRPr="00500F57">
        <w:t>e</w:t>
      </w:r>
      <w:r w:rsidR="005612E0">
        <w:t>-</w:t>
      </w:r>
      <w:r w:rsidR="00667D30" w:rsidRPr="00500F57">
        <w:t>based policy and investments</w:t>
      </w:r>
      <w:r w:rsidR="004339EB" w:rsidRPr="00500F57">
        <w:t>.</w:t>
      </w:r>
    </w:p>
    <w:p w:rsidR="007D523B" w:rsidRPr="00500F57" w:rsidRDefault="007D523B" w:rsidP="002F27A9">
      <w:r w:rsidRPr="00500F57">
        <w:t xml:space="preserve">This report begins to </w:t>
      </w:r>
      <w:r w:rsidR="004339EB" w:rsidRPr="00500F57">
        <w:t xml:space="preserve">develop </w:t>
      </w:r>
      <w:r w:rsidR="00A50603">
        <w:t>an</w:t>
      </w:r>
      <w:r w:rsidR="00A50603" w:rsidRPr="00500F57">
        <w:t xml:space="preserve"> </w:t>
      </w:r>
      <w:r w:rsidR="004339EB" w:rsidRPr="00500F57">
        <w:t xml:space="preserve">overarching and consistent picture of Victoria’s </w:t>
      </w:r>
      <w:r w:rsidR="00A126CF" w:rsidRPr="00500F57">
        <w:t xml:space="preserve">active recreation </w:t>
      </w:r>
      <w:r w:rsidR="004339EB" w:rsidRPr="00500F57">
        <w:t>sector</w:t>
      </w:r>
      <w:r w:rsidRPr="00500F57">
        <w:t>.</w:t>
      </w:r>
      <w:r w:rsidR="00D55005" w:rsidRPr="00500F57">
        <w:t xml:space="preserve"> </w:t>
      </w:r>
      <w:r w:rsidRPr="00500F57">
        <w:t>I</w:t>
      </w:r>
      <w:r w:rsidR="00A50603">
        <w:t>t</w:t>
      </w:r>
      <w:r w:rsidRPr="00500F57">
        <w:t xml:space="preserve"> </w:t>
      </w:r>
      <w:r w:rsidR="000E51E7" w:rsidRPr="00500F57">
        <w:t>establishes</w:t>
      </w:r>
      <w:r w:rsidRPr="00500F57">
        <w:t xml:space="preserve"> </w:t>
      </w:r>
      <w:r w:rsidR="000E51E7" w:rsidRPr="00500F57">
        <w:t>an</w:t>
      </w:r>
      <w:r w:rsidRPr="00500F57">
        <w:t xml:space="preserve"> </w:t>
      </w:r>
      <w:r w:rsidR="004339EB" w:rsidRPr="00500F57">
        <w:t xml:space="preserve">important </w:t>
      </w:r>
      <w:r w:rsidRPr="00500F57">
        <w:t xml:space="preserve">evidence base to underpin </w:t>
      </w:r>
      <w:r w:rsidR="00A126CF" w:rsidRPr="00500F57">
        <w:t>Sport and Recreation Victoria’s</w:t>
      </w:r>
      <w:r w:rsidRPr="00500F57">
        <w:t xml:space="preserve"> core advocacy, leadership, coordination, communication and research work, including business case development for </w:t>
      </w:r>
      <w:r w:rsidR="00667D30" w:rsidRPr="00500F57">
        <w:t xml:space="preserve">active recreation </w:t>
      </w:r>
      <w:r w:rsidRPr="00500F57">
        <w:t>programs and investments.</w:t>
      </w:r>
      <w:r w:rsidR="00D55005" w:rsidRPr="00500F57">
        <w:t xml:space="preserve"> </w:t>
      </w:r>
      <w:r w:rsidRPr="00500F57">
        <w:t>The report:</w:t>
      </w:r>
    </w:p>
    <w:p w:rsidR="00D55005" w:rsidRPr="00500F57" w:rsidRDefault="00A50603" w:rsidP="002F27A9">
      <w:pPr>
        <w:pStyle w:val="ListParagraph"/>
      </w:pPr>
      <w:r>
        <w:t xml:space="preserve">provides </w:t>
      </w:r>
      <w:r w:rsidR="007D523B" w:rsidRPr="00500F57">
        <w:t xml:space="preserve">a coherent </w:t>
      </w:r>
      <w:r w:rsidR="009A0915" w:rsidRPr="00500F57">
        <w:t xml:space="preserve">overarching </w:t>
      </w:r>
      <w:r w:rsidR="007D523B" w:rsidRPr="00500F57">
        <w:t>evaluation framework and evidence base of relevant existing data that demonstrate</w:t>
      </w:r>
      <w:r>
        <w:t>s</w:t>
      </w:r>
      <w:r w:rsidR="007D523B" w:rsidRPr="00500F57">
        <w:t xml:space="preserve"> the economi</w:t>
      </w:r>
      <w:r w:rsidR="00CF75F2" w:rsidRPr="00500F57">
        <w:t xml:space="preserve">c impacts and value of Victoria’s </w:t>
      </w:r>
      <w:r w:rsidR="00667D30" w:rsidRPr="00500F57">
        <w:t>active recreation sector</w:t>
      </w:r>
    </w:p>
    <w:p w:rsidR="007D523B" w:rsidRPr="00500F57" w:rsidRDefault="00A50603" w:rsidP="002F27A9">
      <w:pPr>
        <w:pStyle w:val="ListParagraph"/>
      </w:pPr>
      <w:r>
        <w:t xml:space="preserve">makes </w:t>
      </w:r>
      <w:r w:rsidR="007D523B" w:rsidRPr="00500F57">
        <w:t>useable and credible</w:t>
      </w:r>
      <w:r w:rsidR="00744C14" w:rsidRPr="00500F57">
        <w:t xml:space="preserve"> </w:t>
      </w:r>
      <w:r w:rsidR="007D523B" w:rsidRPr="00500F57">
        <w:t xml:space="preserve">economic </w:t>
      </w:r>
      <w:r w:rsidR="00744C14" w:rsidRPr="00500F57">
        <w:t>estimates</w:t>
      </w:r>
      <w:r w:rsidR="007D523B" w:rsidRPr="00500F57">
        <w:t xml:space="preserve"> </w:t>
      </w:r>
      <w:r w:rsidR="00744C14" w:rsidRPr="00500F57">
        <w:t>for</w:t>
      </w:r>
      <w:r w:rsidR="007D523B" w:rsidRPr="00500F57">
        <w:t xml:space="preserve"> </w:t>
      </w:r>
      <w:r w:rsidR="00667D30" w:rsidRPr="00500F57">
        <w:t>active recreation</w:t>
      </w:r>
      <w:r w:rsidR="007D523B" w:rsidRPr="00500F57">
        <w:t xml:space="preserve"> in Victoria</w:t>
      </w:r>
      <w:r>
        <w:t xml:space="preserve">, </w:t>
      </w:r>
      <w:r w:rsidR="007D523B" w:rsidRPr="00500F57">
        <w:t>based on sound economic principles</w:t>
      </w:r>
      <w:r>
        <w:t>, using the</w:t>
      </w:r>
      <w:r w:rsidR="009A0915" w:rsidRPr="00500F57">
        <w:t xml:space="preserve"> </w:t>
      </w:r>
      <w:r w:rsidR="007D523B" w:rsidRPr="00500F57">
        <w:t>best available data</w:t>
      </w:r>
      <w:r>
        <w:t xml:space="preserve">, and </w:t>
      </w:r>
      <w:r w:rsidR="009A0915" w:rsidRPr="00500F57">
        <w:t>tested</w:t>
      </w:r>
      <w:r w:rsidR="00B4319B" w:rsidRPr="00500F57">
        <w:t xml:space="preserve"> and refined</w:t>
      </w:r>
      <w:r w:rsidR="009A0915" w:rsidRPr="00500F57">
        <w:t xml:space="preserve"> with</w:t>
      </w:r>
      <w:r w:rsidR="007D523B" w:rsidRPr="00500F57">
        <w:t xml:space="preserve"> </w:t>
      </w:r>
      <w:r>
        <w:t xml:space="preserve">the </w:t>
      </w:r>
      <w:r w:rsidR="007D523B" w:rsidRPr="00500F57">
        <w:t>stakeholders</w:t>
      </w:r>
      <w:r w:rsidR="009A0915" w:rsidRPr="00500F57">
        <w:t xml:space="preserve"> listed in the </w:t>
      </w:r>
      <w:r w:rsidR="00354B7C">
        <w:t>‘</w:t>
      </w:r>
      <w:r>
        <w:t>A</w:t>
      </w:r>
      <w:r w:rsidR="009A0915" w:rsidRPr="00500F57">
        <w:t>cknowledgmen</w:t>
      </w:r>
      <w:r w:rsidR="00354B7C">
        <w:t>ts’</w:t>
      </w:r>
      <w:r w:rsidR="009A0915" w:rsidRPr="00500F57">
        <w:t xml:space="preserve"> section</w:t>
      </w:r>
    </w:p>
    <w:p w:rsidR="00667D30" w:rsidRPr="00500F57" w:rsidRDefault="00744C14" w:rsidP="002F27A9">
      <w:pPr>
        <w:pStyle w:val="ListParagraph"/>
      </w:pPr>
      <w:r w:rsidRPr="00500F57">
        <w:t>d</w:t>
      </w:r>
      <w:r w:rsidR="009A0915" w:rsidRPr="00500F57">
        <w:t>iscuss</w:t>
      </w:r>
      <w:r w:rsidR="00A50603">
        <w:t>es</w:t>
      </w:r>
      <w:r w:rsidR="009A0915" w:rsidRPr="00500F57">
        <w:t xml:space="preserve"> other</w:t>
      </w:r>
      <w:r w:rsidR="005404CC" w:rsidRPr="00500F57">
        <w:t xml:space="preserve"> benefits and impacts of active</w:t>
      </w:r>
      <w:r w:rsidR="00667D30" w:rsidRPr="00500F57">
        <w:t xml:space="preserve"> recreation</w:t>
      </w:r>
      <w:r w:rsidR="009A0915" w:rsidRPr="00500F57">
        <w:t xml:space="preserve"> in Victoria</w:t>
      </w:r>
      <w:r w:rsidR="00A50603">
        <w:t xml:space="preserve"> in those cases for which </w:t>
      </w:r>
      <w:r w:rsidR="004339EB" w:rsidRPr="00500F57">
        <w:t xml:space="preserve">credible </w:t>
      </w:r>
      <w:r w:rsidR="009A0915" w:rsidRPr="00500F57">
        <w:t>quantification</w:t>
      </w:r>
      <w:r w:rsidR="004339EB" w:rsidRPr="00500F57">
        <w:t xml:space="preserve"> of economic values</w:t>
      </w:r>
      <w:r w:rsidR="009A0915" w:rsidRPr="00500F57">
        <w:t xml:space="preserve"> is not possible</w:t>
      </w:r>
    </w:p>
    <w:p w:rsidR="009A0915" w:rsidRPr="00500F57" w:rsidRDefault="00667D30" w:rsidP="002F27A9">
      <w:pPr>
        <w:pStyle w:val="ListParagraph"/>
      </w:pPr>
      <w:r w:rsidRPr="00500F57">
        <w:t>assess</w:t>
      </w:r>
      <w:r w:rsidR="00A50603">
        <w:t>es</w:t>
      </w:r>
      <w:r w:rsidRPr="00500F57">
        <w:t xml:space="preserve"> the return on investment </w:t>
      </w:r>
      <w:r w:rsidR="00054D1F" w:rsidRPr="00500F57">
        <w:t xml:space="preserve">from investing in active recreation in Victoria by increasing </w:t>
      </w:r>
      <w:r w:rsidR="00A50603">
        <w:t>adults’ participation</w:t>
      </w:r>
    </w:p>
    <w:p w:rsidR="009A0915" w:rsidRPr="00500F57" w:rsidRDefault="009A0915" w:rsidP="002F27A9">
      <w:pPr>
        <w:pStyle w:val="ListParagraph"/>
      </w:pPr>
      <w:r w:rsidRPr="00500F57">
        <w:t>identifi</w:t>
      </w:r>
      <w:r w:rsidR="00A50603">
        <w:t>es</w:t>
      </w:r>
      <w:r w:rsidRPr="00500F57">
        <w:t xml:space="preserve"> </w:t>
      </w:r>
      <w:r w:rsidR="00744C14" w:rsidRPr="00500F57">
        <w:t xml:space="preserve">possible </w:t>
      </w:r>
      <w:r w:rsidRPr="00500F57">
        <w:t>next steps</w:t>
      </w:r>
      <w:r w:rsidR="00744C14" w:rsidRPr="00500F57">
        <w:t xml:space="preserve"> to improve our understanding of the economic value of </w:t>
      </w:r>
      <w:r w:rsidR="00054D1F" w:rsidRPr="00500F57">
        <w:t>active recreation</w:t>
      </w:r>
      <w:r w:rsidR="00744C14" w:rsidRPr="00500F57">
        <w:t xml:space="preserve"> in </w:t>
      </w:r>
      <w:r w:rsidR="00A50603">
        <w:t>the state</w:t>
      </w:r>
      <w:r w:rsidR="00C0260C" w:rsidRPr="00500F57">
        <w:t>.</w:t>
      </w:r>
    </w:p>
    <w:p w:rsidR="00D55005" w:rsidRPr="00500F57" w:rsidRDefault="000E1092" w:rsidP="002F27A9">
      <w:r w:rsidRPr="00500F57">
        <w:t xml:space="preserve">The </w:t>
      </w:r>
      <w:r w:rsidR="00A50603">
        <w:t>appendices</w:t>
      </w:r>
      <w:r w:rsidR="00A50603" w:rsidRPr="00500F57">
        <w:t xml:space="preserve"> </w:t>
      </w:r>
      <w:r w:rsidRPr="00500F57">
        <w:t>outline</w:t>
      </w:r>
      <w:r w:rsidR="007D523B" w:rsidRPr="00500F57">
        <w:t xml:space="preserve"> how the estimates in this report have been derived.</w:t>
      </w:r>
      <w:r w:rsidR="00D55005" w:rsidRPr="00500F57">
        <w:t xml:space="preserve"> </w:t>
      </w:r>
      <w:r w:rsidR="004339EB" w:rsidRPr="00500F57">
        <w:t>Our approach uses</w:t>
      </w:r>
      <w:r w:rsidR="007D523B" w:rsidRPr="00500F57">
        <w:t xml:space="preserve"> best</w:t>
      </w:r>
      <w:r w:rsidR="00A50603">
        <w:t xml:space="preserve"> </w:t>
      </w:r>
      <w:r w:rsidR="007D523B" w:rsidRPr="00500F57">
        <w:t>estimates from available data</w:t>
      </w:r>
      <w:r w:rsidR="004339EB" w:rsidRPr="00500F57">
        <w:t xml:space="preserve"> and </w:t>
      </w:r>
      <w:r w:rsidR="000E51E7" w:rsidRPr="00500F57">
        <w:t>focuses</w:t>
      </w:r>
      <w:r w:rsidR="004339EB" w:rsidRPr="00500F57">
        <w:t xml:space="preserve"> on ensuring that there is no double counting of benefits and impacts</w:t>
      </w:r>
      <w:r w:rsidR="007D523B" w:rsidRPr="00500F57">
        <w:t xml:space="preserve">. </w:t>
      </w:r>
      <w:r w:rsidR="00C736BF">
        <w:t>The</w:t>
      </w:r>
      <w:r w:rsidR="00A50603">
        <w:t xml:space="preserve"> e</w:t>
      </w:r>
      <w:r w:rsidR="004339EB" w:rsidRPr="00500F57">
        <w:t>stimates have been developed</w:t>
      </w:r>
      <w:r w:rsidR="007D523B" w:rsidRPr="00500F57">
        <w:t xml:space="preserve"> using accepted approaches</w:t>
      </w:r>
      <w:r w:rsidR="00C0260C" w:rsidRPr="00500F57">
        <w:t xml:space="preserve"> for estimating economic and welfare impacts of industry activity, including approaches supported </w:t>
      </w:r>
      <w:r w:rsidR="0068372F" w:rsidRPr="00500F57">
        <w:t xml:space="preserve">by </w:t>
      </w:r>
      <w:r w:rsidR="00C0260C" w:rsidRPr="00500F57">
        <w:t xml:space="preserve">the Victorian Department of Treasury and Finance’s </w:t>
      </w:r>
      <w:r w:rsidR="00C0260C" w:rsidRPr="00500F57">
        <w:rPr>
          <w:i/>
        </w:rPr>
        <w:t xml:space="preserve">Economic </w:t>
      </w:r>
      <w:r w:rsidR="00C736BF" w:rsidRPr="00500F57">
        <w:rPr>
          <w:i/>
        </w:rPr>
        <w:t>evaluation for business cases technical guidelines</w:t>
      </w:r>
      <w:r w:rsidR="00C736BF" w:rsidRPr="00500F57">
        <w:t xml:space="preserve"> </w:t>
      </w:r>
      <w:r w:rsidR="00C0260C" w:rsidRPr="00500F57">
        <w:t>(2013).</w:t>
      </w:r>
    </w:p>
    <w:p w:rsidR="00D55005" w:rsidRPr="00500F57" w:rsidRDefault="00234266" w:rsidP="002F27A9">
      <w:r w:rsidRPr="00500F57">
        <w:lastRenderedPageBreak/>
        <w:t>T</w:t>
      </w:r>
      <w:r w:rsidR="005404CC" w:rsidRPr="00500F57">
        <w:t>he evaluation in this report compl</w:t>
      </w:r>
      <w:r w:rsidR="00C3643F" w:rsidRPr="00500F57">
        <w:t>e</w:t>
      </w:r>
      <w:r w:rsidR="005404CC" w:rsidRPr="00500F57">
        <w:t>ments</w:t>
      </w:r>
      <w:r w:rsidRPr="00500F57">
        <w:t xml:space="preserve"> earlier assessments of the economic value of</w:t>
      </w:r>
      <w:r w:rsidR="00EF22B3" w:rsidRPr="00500F57">
        <w:t xml:space="preserve"> Victorian</w:t>
      </w:r>
      <w:r w:rsidRPr="00500F57">
        <w:t xml:space="preserve"> recreation and </w:t>
      </w:r>
      <w:r w:rsidR="00EF22B3" w:rsidRPr="00500F57">
        <w:t>draws on</w:t>
      </w:r>
      <w:r w:rsidRPr="00500F57">
        <w:t xml:space="preserve"> findings from the recent report commissioned by Outdoors Victoria and </w:t>
      </w:r>
      <w:r w:rsidR="00434F79">
        <w:t>DHHS</w:t>
      </w:r>
      <w:r w:rsidRPr="00500F57">
        <w:t xml:space="preserve"> into Victoria’s nature</w:t>
      </w:r>
      <w:r w:rsidR="00C736BF">
        <w:t>-</w:t>
      </w:r>
      <w:r w:rsidRPr="00500F57">
        <w:t>based outdoor economy</w:t>
      </w:r>
      <w:r w:rsidR="00354B7C">
        <w:t xml:space="preserve"> (MJA, 2016)</w:t>
      </w:r>
      <w:r w:rsidR="00C736BF">
        <w:t>.</w:t>
      </w:r>
      <w:r w:rsidRPr="00500F57">
        <w:t xml:space="preserve"> </w:t>
      </w:r>
      <w:r w:rsidR="00EF22B3" w:rsidRPr="00500F57">
        <w:t>The report</w:t>
      </w:r>
      <w:r w:rsidR="002A5EAA" w:rsidRPr="00500F57">
        <w:t xml:space="preserve"> also buil</w:t>
      </w:r>
      <w:r w:rsidR="00EF22B3" w:rsidRPr="00500F57">
        <w:t>ds</w:t>
      </w:r>
      <w:r w:rsidR="002A5EAA" w:rsidRPr="00500F57">
        <w:t xml:space="preserve"> on earlier work by Deakin Health Economics</w:t>
      </w:r>
      <w:r w:rsidR="00AA4976" w:rsidRPr="00500F57">
        <w:t>, Deakin University</w:t>
      </w:r>
      <w:r w:rsidR="00C736BF">
        <w:t>,</w:t>
      </w:r>
      <w:r w:rsidR="00AA4976" w:rsidRPr="00500F57">
        <w:t xml:space="preserve"> </w:t>
      </w:r>
      <w:r w:rsidR="002A5EAA" w:rsidRPr="00500F57">
        <w:t>that evaluated the health status, economic and financial burden associated with physical inactivity in the</w:t>
      </w:r>
      <w:r w:rsidR="00AA4976" w:rsidRPr="00500F57">
        <w:t xml:space="preserve"> </w:t>
      </w:r>
      <w:r w:rsidR="00DD6DFE" w:rsidRPr="00500F57">
        <w:t>Australian</w:t>
      </w:r>
      <w:r w:rsidR="002A5EAA" w:rsidRPr="00500F57">
        <w:t xml:space="preserve"> population</w:t>
      </w:r>
      <w:r w:rsidR="00354B7C">
        <w:t xml:space="preserve"> (</w:t>
      </w:r>
      <w:proofErr w:type="spellStart"/>
      <w:r w:rsidR="00354B7C">
        <w:t>Cadilhac</w:t>
      </w:r>
      <w:proofErr w:type="spellEnd"/>
      <w:r w:rsidR="00354B7C">
        <w:t xml:space="preserve"> et al., 2009)</w:t>
      </w:r>
      <w:r w:rsidR="00C736BF">
        <w:t>.</w:t>
      </w:r>
    </w:p>
    <w:p w:rsidR="00234266" w:rsidRPr="00500F57" w:rsidRDefault="00234266" w:rsidP="002F27A9">
      <w:r w:rsidRPr="00500F57">
        <w:t>While many of the results</w:t>
      </w:r>
      <w:r w:rsidR="00EF22B3" w:rsidRPr="00500F57">
        <w:t xml:space="preserve"> in this report</w:t>
      </w:r>
      <w:r w:rsidRPr="00500F57">
        <w:t xml:space="preserve"> are </w:t>
      </w:r>
      <w:r w:rsidR="00EF22B3" w:rsidRPr="00500F57">
        <w:t xml:space="preserve">aligned </w:t>
      </w:r>
      <w:r w:rsidR="002A5EAA" w:rsidRPr="00500F57">
        <w:t>with th</w:t>
      </w:r>
      <w:r w:rsidR="00C736BF">
        <w:t>o</w:t>
      </w:r>
      <w:r w:rsidR="002A5EAA" w:rsidRPr="00500F57">
        <w:t>se earlier studies</w:t>
      </w:r>
      <w:r w:rsidRPr="00500F57">
        <w:t>, differences</w:t>
      </w:r>
      <w:r w:rsidR="00C736BF">
        <w:t xml:space="preserve"> among the studies</w:t>
      </w:r>
      <w:r w:rsidRPr="00500F57">
        <w:t xml:space="preserve"> in approaches to valuing recreation</w:t>
      </w:r>
      <w:r w:rsidR="002A5EAA" w:rsidRPr="00500F57">
        <w:t xml:space="preserve"> and health and wellbeing outcomes</w:t>
      </w:r>
      <w:r w:rsidRPr="00500F57">
        <w:t xml:space="preserve"> mean that the results are not directly comparable.</w:t>
      </w:r>
    </w:p>
    <w:p w:rsidR="00CF75F2" w:rsidRPr="00500F57" w:rsidRDefault="00FB6026" w:rsidP="002F27A9">
      <w:pPr>
        <w:pStyle w:val="Heading1"/>
      </w:pPr>
      <w:bookmarkStart w:id="48" w:name="_Toc431564045"/>
      <w:bookmarkStart w:id="49" w:name="_Toc477964690"/>
      <w:bookmarkStart w:id="50" w:name="_Toc516050178"/>
      <w:r w:rsidRPr="00500F57">
        <w:lastRenderedPageBreak/>
        <w:t>Evaluation f</w:t>
      </w:r>
      <w:r w:rsidR="008E3427" w:rsidRPr="00500F57">
        <w:t>ramework</w:t>
      </w:r>
      <w:bookmarkEnd w:id="48"/>
      <w:bookmarkEnd w:id="49"/>
      <w:bookmarkEnd w:id="50"/>
    </w:p>
    <w:p w:rsidR="00000A6E" w:rsidRPr="00500F57" w:rsidRDefault="00792D50" w:rsidP="002F27A9">
      <w:pPr>
        <w:pStyle w:val="Heading2"/>
      </w:pPr>
      <w:r w:rsidRPr="00500F57">
        <w:t>Active recreation</w:t>
      </w:r>
    </w:p>
    <w:p w:rsidR="007D523B" w:rsidRPr="009F0FF4" w:rsidRDefault="00641998" w:rsidP="002F27A9">
      <w:pPr>
        <w:rPr>
          <w:rStyle w:val="Emphasis"/>
        </w:rPr>
      </w:pPr>
      <w:r w:rsidRPr="009F0FF4">
        <w:rPr>
          <w:rStyle w:val="Emphasis"/>
        </w:rPr>
        <w:t>Active recreation</w:t>
      </w:r>
      <w:r w:rsidR="000E78B9" w:rsidRPr="009F0FF4">
        <w:rPr>
          <w:rStyle w:val="Emphasis"/>
        </w:rPr>
        <w:t xml:space="preserve"> </w:t>
      </w:r>
      <w:r w:rsidR="0084058A" w:rsidRPr="009F0FF4">
        <w:rPr>
          <w:rStyle w:val="Emphasis"/>
        </w:rPr>
        <w:t>includ</w:t>
      </w:r>
      <w:r w:rsidR="00744C14" w:rsidRPr="009F0FF4">
        <w:rPr>
          <w:rStyle w:val="Emphasis"/>
        </w:rPr>
        <w:t>es</w:t>
      </w:r>
      <w:r w:rsidR="00242D1F" w:rsidRPr="009F0FF4">
        <w:rPr>
          <w:rStyle w:val="Emphasis"/>
        </w:rPr>
        <w:t xml:space="preserve"> physical activity engaged in for the purpose of relaxation, health and wellbeing or enjoy</w:t>
      </w:r>
      <w:r w:rsidR="00054D1F" w:rsidRPr="009F0FF4">
        <w:rPr>
          <w:rStyle w:val="Emphasis"/>
        </w:rPr>
        <w:t xml:space="preserve">ment, </w:t>
      </w:r>
      <w:r w:rsidR="00C736BF" w:rsidRPr="009F0FF4">
        <w:rPr>
          <w:rStyle w:val="Emphasis"/>
        </w:rPr>
        <w:t xml:space="preserve">in which </w:t>
      </w:r>
      <w:r w:rsidR="00054D1F" w:rsidRPr="009F0FF4">
        <w:rPr>
          <w:rStyle w:val="Emphasis"/>
        </w:rPr>
        <w:t>the primary focus is</w:t>
      </w:r>
      <w:r w:rsidR="00242D1F" w:rsidRPr="009F0FF4">
        <w:rPr>
          <w:rStyle w:val="Emphasis"/>
        </w:rPr>
        <w:t xml:space="preserve"> on human activity</w:t>
      </w:r>
      <w:r w:rsidR="0084058A" w:rsidRPr="009F0FF4">
        <w:rPr>
          <w:rStyle w:val="Emphasis"/>
        </w:rPr>
        <w:t>. A key criteri</w:t>
      </w:r>
      <w:r w:rsidR="00C736BF" w:rsidRPr="009F0FF4">
        <w:rPr>
          <w:rStyle w:val="Emphasis"/>
        </w:rPr>
        <w:t>on</w:t>
      </w:r>
      <w:r w:rsidR="0084058A" w:rsidRPr="009F0FF4">
        <w:rPr>
          <w:rStyle w:val="Emphasis"/>
        </w:rPr>
        <w:t xml:space="preserve"> is that</w:t>
      </w:r>
      <w:r w:rsidR="000E78B9" w:rsidRPr="009F0FF4">
        <w:rPr>
          <w:rStyle w:val="Emphasis"/>
        </w:rPr>
        <w:t xml:space="preserve"> </w:t>
      </w:r>
      <w:r w:rsidRPr="009F0FF4">
        <w:rPr>
          <w:rStyle w:val="Emphasis"/>
        </w:rPr>
        <w:t>it d</w:t>
      </w:r>
      <w:r w:rsidR="00CA6729" w:rsidRPr="009F0FF4">
        <w:rPr>
          <w:rStyle w:val="Emphasis"/>
        </w:rPr>
        <w:t>oes not include organised</w:t>
      </w:r>
      <w:r w:rsidR="00231EC7" w:rsidRPr="009F0FF4">
        <w:rPr>
          <w:rStyle w:val="Emphasis"/>
        </w:rPr>
        <w:t xml:space="preserve"> competiti</w:t>
      </w:r>
      <w:r w:rsidR="00C736BF" w:rsidRPr="009F0FF4">
        <w:rPr>
          <w:rStyle w:val="Emphasis"/>
        </w:rPr>
        <w:t>ve</w:t>
      </w:r>
      <w:r w:rsidR="00CA6729" w:rsidRPr="009F0FF4">
        <w:rPr>
          <w:rStyle w:val="Emphasis"/>
        </w:rPr>
        <w:t xml:space="preserve"> sport</w:t>
      </w:r>
      <w:r w:rsidR="00242D1F" w:rsidRPr="009F0FF4">
        <w:rPr>
          <w:rStyle w:val="Emphasis"/>
        </w:rPr>
        <w:t xml:space="preserve"> or active travel</w:t>
      </w:r>
      <w:r w:rsidR="000E78B9" w:rsidRPr="009F0FF4">
        <w:rPr>
          <w:rStyle w:val="Emphasis"/>
        </w:rPr>
        <w:t>.</w:t>
      </w:r>
    </w:p>
    <w:p w:rsidR="00D55005" w:rsidRPr="007F5A54" w:rsidRDefault="00242D1F" w:rsidP="002F27A9">
      <w:r w:rsidRPr="00500F57">
        <w:t>This definition is consi</w:t>
      </w:r>
      <w:r w:rsidR="00CE43E5" w:rsidRPr="00500F57">
        <w:t>stent with the definition used by the</w:t>
      </w:r>
      <w:r w:rsidRPr="00500F57">
        <w:t xml:space="preserve"> </w:t>
      </w:r>
      <w:r w:rsidR="00C736BF">
        <w:t>Australian Government</w:t>
      </w:r>
      <w:r w:rsidR="00C736BF" w:rsidRPr="00500F57">
        <w:t xml:space="preserve"> </w:t>
      </w:r>
      <w:r w:rsidR="00CE43E5" w:rsidRPr="00500F57">
        <w:t xml:space="preserve">in its </w:t>
      </w:r>
      <w:r w:rsidR="00CE43E5" w:rsidRPr="007F5A54">
        <w:t>2011</w:t>
      </w:r>
      <w:r w:rsidRPr="007F5A54">
        <w:t xml:space="preserve"> </w:t>
      </w:r>
      <w:r w:rsidRPr="000F0AFD">
        <w:t>National Sport and Active Recreation Policy Framework</w:t>
      </w:r>
      <w:r w:rsidRPr="007F5A54">
        <w:t>.</w:t>
      </w:r>
    </w:p>
    <w:p w:rsidR="00D55005" w:rsidRPr="00500F57" w:rsidRDefault="003C1E1A" w:rsidP="002F27A9">
      <w:r w:rsidRPr="00500F57">
        <w:t>To operationalise this definition</w:t>
      </w:r>
      <w:r w:rsidR="00242D1F" w:rsidRPr="00500F57">
        <w:t xml:space="preserve"> of active recreation</w:t>
      </w:r>
      <w:r w:rsidR="00C736BF">
        <w:t>,</w:t>
      </w:r>
      <w:r w:rsidRPr="00500F57">
        <w:t xml:space="preserve"> w</w:t>
      </w:r>
      <w:r w:rsidR="0084058A" w:rsidRPr="00500F57">
        <w:t xml:space="preserve">e used the </w:t>
      </w:r>
      <w:r w:rsidR="00641998" w:rsidRPr="00500F57">
        <w:t>Australian Sport Commission’s Participation in Exercise, Recreation and Sport Survey</w:t>
      </w:r>
      <w:r w:rsidR="00171795" w:rsidRPr="00500F57">
        <w:t xml:space="preserve"> (ERASS)</w:t>
      </w:r>
      <w:r w:rsidR="00641998" w:rsidRPr="00500F57">
        <w:t xml:space="preserve"> </w:t>
      </w:r>
      <w:r w:rsidR="00BB64E9" w:rsidRPr="00500F57">
        <w:t>data series classification</w:t>
      </w:r>
      <w:r w:rsidR="0068372F" w:rsidRPr="00500F57">
        <w:t xml:space="preserve">, </w:t>
      </w:r>
      <w:r w:rsidR="00641998" w:rsidRPr="00500F57">
        <w:t xml:space="preserve">and </w:t>
      </w:r>
      <w:r w:rsidR="00242D1F" w:rsidRPr="00500F57">
        <w:t>merged th</w:t>
      </w:r>
      <w:r w:rsidR="00C736BF">
        <w:t>at</w:t>
      </w:r>
      <w:r w:rsidR="00242D1F" w:rsidRPr="00500F57">
        <w:t xml:space="preserve"> classification with</w:t>
      </w:r>
      <w:r w:rsidR="00641998" w:rsidRPr="00500F57">
        <w:t xml:space="preserve"> </w:t>
      </w:r>
      <w:r w:rsidR="00CE43E5" w:rsidRPr="00500F57">
        <w:t xml:space="preserve">classifications in </w:t>
      </w:r>
      <w:r w:rsidR="00641998" w:rsidRPr="00500F57">
        <w:t xml:space="preserve">the </w:t>
      </w:r>
      <w:r w:rsidR="00CE43E5" w:rsidRPr="00500F57">
        <w:t>VicH</w:t>
      </w:r>
      <w:r w:rsidR="00171795" w:rsidRPr="00500F57">
        <w:t xml:space="preserve">ealth population survey analysis </w:t>
      </w:r>
      <w:r w:rsidR="00A126CF" w:rsidRPr="00500F57">
        <w:t>and</w:t>
      </w:r>
      <w:r w:rsidR="00CE43E5" w:rsidRPr="00500F57">
        <w:t xml:space="preserve"> in</w:t>
      </w:r>
      <w:r w:rsidR="00A126CF" w:rsidRPr="00500F57">
        <w:t xml:space="preserve"> </w:t>
      </w:r>
      <w:r w:rsidR="00641998" w:rsidRPr="00500F57">
        <w:t>our earlier analysis of outdoor tourism</w:t>
      </w:r>
      <w:r w:rsidR="00BB64E9" w:rsidRPr="00500F57">
        <w:t>.</w:t>
      </w:r>
    </w:p>
    <w:p w:rsidR="009132EE" w:rsidRPr="002C067A" w:rsidRDefault="00171795" w:rsidP="002F27A9">
      <w:r w:rsidRPr="00500F57">
        <w:t>The ERASS</w:t>
      </w:r>
      <w:r w:rsidR="009132EE" w:rsidRPr="00500F57">
        <w:t xml:space="preserve"> </w:t>
      </w:r>
      <w:r w:rsidRPr="00500F57">
        <w:t xml:space="preserve">surveys distinguish between organised and unorganised </w:t>
      </w:r>
      <w:r w:rsidR="00242D1F" w:rsidRPr="00500F57">
        <w:t xml:space="preserve">physical </w:t>
      </w:r>
      <w:r w:rsidRPr="00500F57">
        <w:t>activities. For this analysis</w:t>
      </w:r>
      <w:r w:rsidR="00C736BF">
        <w:t>,</w:t>
      </w:r>
      <w:r w:rsidRPr="00500F57">
        <w:t xml:space="preserve"> we included those activities that are unorganised as a proxy for</w:t>
      </w:r>
      <w:r w:rsidR="00242D1F" w:rsidRPr="00500F57">
        <w:t xml:space="preserve"> </w:t>
      </w:r>
      <w:r w:rsidR="00CA6729" w:rsidRPr="00500F57">
        <w:t>active recreation</w:t>
      </w:r>
      <w:r w:rsidRPr="00500F57">
        <w:t xml:space="preserve">. </w:t>
      </w:r>
      <w:r w:rsidR="00CE43E5" w:rsidRPr="00500F57">
        <w:t>We see this as a key but reasonable assumption.</w:t>
      </w:r>
      <w:r w:rsidR="00BB64E9" w:rsidRPr="00500F57">
        <w:t xml:space="preserve"> </w:t>
      </w:r>
      <w:r w:rsidR="00737DF6">
        <w:t>Table 1</w:t>
      </w:r>
      <w:r w:rsidR="009132EE" w:rsidRPr="002C067A">
        <w:t>shows the activities included in our evaluation and the allocation made to sport versus active recreation</w:t>
      </w:r>
      <w:r w:rsidRPr="002C067A">
        <w:t>.</w:t>
      </w:r>
    </w:p>
    <w:p w:rsidR="00FD248C" w:rsidRPr="00500F57" w:rsidRDefault="009132EE" w:rsidP="002F27A9">
      <w:r w:rsidRPr="00500F57">
        <w:t>M</w:t>
      </w:r>
      <w:r w:rsidR="003C1E1A" w:rsidRPr="00500F57">
        <w:t xml:space="preserve">any of the activities in </w:t>
      </w:r>
      <w:r w:rsidR="00711B89" w:rsidRPr="00500F57">
        <w:t>Table 1</w:t>
      </w:r>
      <w:r w:rsidR="00CE43E5" w:rsidRPr="00500F57">
        <w:t xml:space="preserve"> </w:t>
      </w:r>
      <w:r w:rsidR="00CA6729" w:rsidRPr="00500F57">
        <w:t>may be organised through club</w:t>
      </w:r>
      <w:r w:rsidR="007F5A54">
        <w:t>s</w:t>
      </w:r>
      <w:r w:rsidR="00CE43E5" w:rsidRPr="00500F57">
        <w:t>. For</w:t>
      </w:r>
      <w:r w:rsidR="00CA6729" w:rsidRPr="00500F57">
        <w:t xml:space="preserve"> this analysis</w:t>
      </w:r>
      <w:r w:rsidR="007F5A54">
        <w:t>,</w:t>
      </w:r>
      <w:r w:rsidRPr="00500F57">
        <w:t xml:space="preserve"> we assumed </w:t>
      </w:r>
      <w:r w:rsidR="00CE43E5" w:rsidRPr="00500F57">
        <w:t>that club activities are not</w:t>
      </w:r>
      <w:r w:rsidR="00CA6729" w:rsidRPr="00500F57">
        <w:t xml:space="preserve"> </w:t>
      </w:r>
      <w:r w:rsidR="00231EC7" w:rsidRPr="00500F57">
        <w:t xml:space="preserve">competition </w:t>
      </w:r>
      <w:r w:rsidR="00CA6729" w:rsidRPr="00500F57">
        <w:t>sport</w:t>
      </w:r>
      <w:r w:rsidR="003C1E1A" w:rsidRPr="00500F57">
        <w:t>.</w:t>
      </w:r>
      <w:r w:rsidR="00744C14" w:rsidRPr="00500F57">
        <w:t xml:space="preserve"> </w:t>
      </w:r>
      <w:r w:rsidR="00FD248C" w:rsidRPr="00500F57">
        <w:t>Where activities straddle the line</w:t>
      </w:r>
      <w:r w:rsidR="00CE43E5" w:rsidRPr="00500F57">
        <w:t xml:space="preserve"> between sport and active recreation</w:t>
      </w:r>
      <w:r w:rsidR="007F5A54">
        <w:t>,</w:t>
      </w:r>
      <w:r w:rsidR="00FD248C" w:rsidRPr="00500F57">
        <w:t xml:space="preserve"> we apportioned participation for th</w:t>
      </w:r>
      <w:r w:rsidR="007F5A54">
        <w:t>o</w:t>
      </w:r>
      <w:r w:rsidR="00FD248C" w:rsidRPr="00500F57">
        <w:t xml:space="preserve">se activities between </w:t>
      </w:r>
      <w:r w:rsidR="00307165" w:rsidRPr="00500F57">
        <w:t>active recreation</w:t>
      </w:r>
      <w:r w:rsidR="00FD248C" w:rsidRPr="00500F57">
        <w:t xml:space="preserve"> </w:t>
      </w:r>
      <w:r w:rsidR="00BB64E9" w:rsidRPr="00500F57">
        <w:t xml:space="preserve">and </w:t>
      </w:r>
      <w:r w:rsidR="00231EC7" w:rsidRPr="00500F57">
        <w:t xml:space="preserve">organised competition </w:t>
      </w:r>
      <w:r w:rsidR="00CA6729" w:rsidRPr="00500F57">
        <w:t>sport</w:t>
      </w:r>
      <w:r w:rsidR="00FD248C" w:rsidRPr="00500F57">
        <w:t>.</w:t>
      </w:r>
      <w:r w:rsidR="00D55005" w:rsidRPr="00500F57">
        <w:t xml:space="preserve"> </w:t>
      </w:r>
      <w:r w:rsidR="00FD248C" w:rsidRPr="00500F57">
        <w:t xml:space="preserve">The </w:t>
      </w:r>
      <w:r w:rsidR="000E51E7" w:rsidRPr="00500F57">
        <w:t>apportionment</w:t>
      </w:r>
      <w:r w:rsidR="00FD248C" w:rsidRPr="00500F57">
        <w:t xml:space="preserve"> is </w:t>
      </w:r>
      <w:r w:rsidR="00CE43E5" w:rsidRPr="00500F57">
        <w:t xml:space="preserve">also </w:t>
      </w:r>
      <w:r w:rsidR="00FD248C" w:rsidRPr="00500F57">
        <w:t>shown in Table 1</w:t>
      </w:r>
      <w:r w:rsidR="00BB64E9" w:rsidRPr="00500F57">
        <w:t>.</w:t>
      </w:r>
      <w:r w:rsidR="00D55005" w:rsidRPr="00500F57">
        <w:t xml:space="preserve"> </w:t>
      </w:r>
      <w:r w:rsidR="009060D5" w:rsidRPr="00500F57">
        <w:t xml:space="preserve">The </w:t>
      </w:r>
      <w:r w:rsidR="007F5A54">
        <w:t>appendices</w:t>
      </w:r>
      <w:r w:rsidR="007F5A54" w:rsidRPr="00500F57">
        <w:t xml:space="preserve"> </w:t>
      </w:r>
      <w:r w:rsidR="009060D5" w:rsidRPr="00500F57">
        <w:t>to this report outline</w:t>
      </w:r>
      <w:r w:rsidR="00BB64E9" w:rsidRPr="00500F57">
        <w:t xml:space="preserve"> </w:t>
      </w:r>
      <w:r w:rsidRPr="00500F57">
        <w:t>in more detail our logic for apportioning between activities</w:t>
      </w:r>
      <w:r w:rsidR="00FD248C" w:rsidRPr="00500F57">
        <w:t>.</w:t>
      </w:r>
    </w:p>
    <w:p w:rsidR="00D55005" w:rsidRPr="00500F57" w:rsidRDefault="00741174" w:rsidP="002F27A9">
      <w:r w:rsidRPr="00500F57">
        <w:t xml:space="preserve">As we show </w:t>
      </w:r>
      <w:r w:rsidR="007F5A54">
        <w:t>below</w:t>
      </w:r>
      <w:r w:rsidRPr="00500F57">
        <w:t>, walking, running, cycling</w:t>
      </w:r>
      <w:r w:rsidR="008472D9" w:rsidRPr="00500F57">
        <w:t>, golf</w:t>
      </w:r>
      <w:r w:rsidRPr="00500F57">
        <w:t xml:space="preserve"> and swimming account for </w:t>
      </w:r>
      <w:r w:rsidR="007F5A54">
        <w:t xml:space="preserve">most </w:t>
      </w:r>
      <w:r w:rsidR="009132EE" w:rsidRPr="00500F57">
        <w:t xml:space="preserve">physical activity and </w:t>
      </w:r>
      <w:r w:rsidRPr="00500F57">
        <w:t xml:space="preserve">recreation activities in Victoria. </w:t>
      </w:r>
      <w:r w:rsidR="009132EE" w:rsidRPr="00500F57">
        <w:t xml:space="preserve">Accurate apportionment of these activities between sport and active recreation </w:t>
      </w:r>
      <w:r w:rsidR="00231EC7" w:rsidRPr="00500F57">
        <w:t xml:space="preserve">reduces </w:t>
      </w:r>
      <w:r w:rsidR="009132EE" w:rsidRPr="00500F57">
        <w:t>the risk of material misclassification.</w:t>
      </w:r>
    </w:p>
    <w:p w:rsidR="009132EE" w:rsidRPr="00500F57" w:rsidRDefault="00074D44" w:rsidP="00737DF6">
      <w:pPr>
        <w:pStyle w:val="Caption"/>
      </w:pPr>
      <w:bookmarkStart w:id="51" w:name="_Ref464553874"/>
      <w:bookmarkStart w:id="52" w:name="_Ref464657129"/>
      <w:r>
        <w:br w:type="page"/>
      </w:r>
      <w:r w:rsidR="009132EE" w:rsidRPr="00500F57">
        <w:lastRenderedPageBreak/>
        <w:t>Table</w:t>
      </w:r>
      <w:bookmarkEnd w:id="51"/>
      <w:bookmarkEnd w:id="52"/>
      <w:r w:rsidR="005A7653">
        <w:t xml:space="preserve"> 1</w:t>
      </w:r>
      <w:r w:rsidR="00C35E45" w:rsidRPr="00500F57">
        <w:t>:</w:t>
      </w:r>
      <w:r w:rsidR="00D55005" w:rsidRPr="00500F57">
        <w:t xml:space="preserve"> </w:t>
      </w:r>
      <w:r w:rsidR="00C35E45" w:rsidRPr="00500F57">
        <w:t>Physical a</w:t>
      </w:r>
      <w:r w:rsidR="009132EE" w:rsidRPr="00500F57">
        <w:t>ctivities and splits</w:t>
      </w:r>
      <w:r w:rsidR="00C35E45" w:rsidRPr="00500F57">
        <w:t xml:space="preserve"> between active recreation and sport</w:t>
      </w:r>
    </w:p>
    <w:tbl>
      <w:tblPr>
        <w:tblStyle w:val="MJAnew"/>
        <w:tblW w:w="15309" w:type="dxa"/>
        <w:tblInd w:w="108" w:type="dxa"/>
        <w:tblLayout w:type="fixed"/>
        <w:tblLook w:val="04A0" w:firstRow="1" w:lastRow="0" w:firstColumn="1" w:lastColumn="0" w:noHBand="0" w:noVBand="1"/>
      </w:tblPr>
      <w:tblGrid>
        <w:gridCol w:w="3544"/>
        <w:gridCol w:w="1952"/>
        <w:gridCol w:w="1953"/>
        <w:gridCol w:w="2049"/>
        <w:gridCol w:w="2268"/>
        <w:gridCol w:w="1843"/>
        <w:gridCol w:w="1700"/>
      </w:tblGrid>
      <w:tr w:rsidR="00C35E45" w:rsidRPr="00F90D20" w:rsidTr="009F0FF4">
        <w:trPr>
          <w:trHeight w:val="959"/>
        </w:trPr>
        <w:tc>
          <w:tcPr>
            <w:tcW w:w="3544" w:type="dxa"/>
            <w:vAlign w:val="bottom"/>
            <w:hideMark/>
          </w:tcPr>
          <w:p w:rsidR="00C35E45" w:rsidRPr="009F0FF4" w:rsidRDefault="007F5A54" w:rsidP="002F27A9">
            <w:pPr>
              <w:pStyle w:val="Tablerow"/>
              <w:rPr>
                <w:b/>
              </w:rPr>
            </w:pPr>
            <w:r w:rsidRPr="009F0FF4">
              <w:rPr>
                <w:b/>
              </w:rPr>
              <w:t>M</w:t>
            </w:r>
            <w:r w:rsidR="00C35E45" w:rsidRPr="009F0FF4">
              <w:rPr>
                <w:b/>
              </w:rPr>
              <w:t>ajor activities</w:t>
            </w:r>
          </w:p>
        </w:tc>
        <w:tc>
          <w:tcPr>
            <w:tcW w:w="1952" w:type="dxa"/>
            <w:vAlign w:val="bottom"/>
            <w:hideMark/>
          </w:tcPr>
          <w:p w:rsidR="00C35E45" w:rsidRPr="009F0FF4" w:rsidRDefault="00C35E45" w:rsidP="002F27A9">
            <w:pPr>
              <w:pStyle w:val="Tablerow"/>
              <w:rPr>
                <w:b/>
              </w:rPr>
            </w:pPr>
            <w:r w:rsidRPr="009F0FF4">
              <w:rPr>
                <w:b/>
              </w:rPr>
              <w:t>Population 15 and</w:t>
            </w:r>
            <w:r w:rsidR="007F5A54" w:rsidRPr="009F0FF4">
              <w:rPr>
                <w:b/>
              </w:rPr>
              <w:br/>
            </w:r>
            <w:r w:rsidRPr="009F0FF4">
              <w:rPr>
                <w:b/>
              </w:rPr>
              <w:t>over</w:t>
            </w:r>
            <w:r w:rsidR="007F5A54" w:rsidRPr="009F0FF4">
              <w:rPr>
                <w:b/>
              </w:rPr>
              <w:t xml:space="preserve"> </w:t>
            </w:r>
            <w:r w:rsidRPr="009F0FF4">
              <w:rPr>
                <w:b/>
              </w:rPr>
              <w:t>(</w:t>
            </w:r>
            <w:r w:rsidR="007F5A54" w:rsidRPr="009F0FF4">
              <w:rPr>
                <w:b/>
              </w:rPr>
              <w:t>’</w:t>
            </w:r>
            <w:r w:rsidRPr="009F0FF4">
              <w:rPr>
                <w:b/>
              </w:rPr>
              <w:t>000)</w:t>
            </w:r>
          </w:p>
        </w:tc>
        <w:tc>
          <w:tcPr>
            <w:tcW w:w="1953" w:type="dxa"/>
            <w:vAlign w:val="bottom"/>
            <w:hideMark/>
          </w:tcPr>
          <w:p w:rsidR="00C35E45" w:rsidRPr="009F0FF4" w:rsidRDefault="00C35E45" w:rsidP="002F27A9">
            <w:pPr>
              <w:pStyle w:val="Tablerow"/>
              <w:rPr>
                <w:b/>
              </w:rPr>
            </w:pPr>
            <w:r w:rsidRPr="009F0FF4">
              <w:rPr>
                <w:b/>
              </w:rPr>
              <w:t>Proportion of adult population doing activity at least once</w:t>
            </w:r>
          </w:p>
        </w:tc>
        <w:tc>
          <w:tcPr>
            <w:tcW w:w="2049" w:type="dxa"/>
            <w:vAlign w:val="bottom"/>
            <w:hideMark/>
          </w:tcPr>
          <w:p w:rsidR="00C35E45" w:rsidRPr="009F0FF4" w:rsidRDefault="00C35E45" w:rsidP="002F27A9">
            <w:pPr>
              <w:pStyle w:val="Tablerow"/>
              <w:rPr>
                <w:b/>
              </w:rPr>
            </w:pPr>
            <w:r w:rsidRPr="009F0FF4">
              <w:rPr>
                <w:b/>
              </w:rPr>
              <w:t xml:space="preserve">Number of </w:t>
            </w:r>
            <w:r w:rsidR="00B16494" w:rsidRPr="009F0FF4">
              <w:rPr>
                <w:b/>
              </w:rPr>
              <w:t xml:space="preserve">exercise </w:t>
            </w:r>
            <w:r w:rsidRPr="009F0FF4">
              <w:rPr>
                <w:b/>
              </w:rPr>
              <w:t>session</w:t>
            </w:r>
            <w:r w:rsidR="007F5A54" w:rsidRPr="009F0FF4">
              <w:rPr>
                <w:b/>
              </w:rPr>
              <w:t>s—whole</w:t>
            </w:r>
            <w:r w:rsidRPr="009F0FF4">
              <w:rPr>
                <w:b/>
              </w:rPr>
              <w:t xml:space="preserve"> population</w:t>
            </w:r>
            <w:r w:rsidRPr="009F0FF4">
              <w:rPr>
                <w:b/>
              </w:rPr>
              <w:br/>
              <w:t>(</w:t>
            </w:r>
            <w:r w:rsidR="007F5A54" w:rsidRPr="009F0FF4">
              <w:rPr>
                <w:b/>
              </w:rPr>
              <w:t>’</w:t>
            </w:r>
            <w:r w:rsidRPr="009F0FF4">
              <w:rPr>
                <w:b/>
              </w:rPr>
              <w:t>000)</w:t>
            </w:r>
          </w:p>
        </w:tc>
        <w:tc>
          <w:tcPr>
            <w:tcW w:w="2268" w:type="dxa"/>
            <w:vAlign w:val="bottom"/>
            <w:hideMark/>
          </w:tcPr>
          <w:p w:rsidR="00C35E45" w:rsidRPr="009F0FF4" w:rsidRDefault="00C35E45" w:rsidP="002F27A9">
            <w:pPr>
              <w:pStyle w:val="Tablerow"/>
              <w:rPr>
                <w:b/>
              </w:rPr>
            </w:pPr>
            <w:r w:rsidRPr="009F0FF4">
              <w:rPr>
                <w:b/>
              </w:rPr>
              <w:t xml:space="preserve">Proportion of </w:t>
            </w:r>
            <w:r w:rsidR="00B16494" w:rsidRPr="009F0FF4">
              <w:rPr>
                <w:b/>
              </w:rPr>
              <w:t xml:space="preserve">exercise </w:t>
            </w:r>
            <w:r w:rsidRPr="009F0FF4">
              <w:rPr>
                <w:b/>
              </w:rPr>
              <w:t xml:space="preserve">sessions </w:t>
            </w:r>
            <w:r w:rsidR="00DF034A" w:rsidRPr="009F0FF4">
              <w:rPr>
                <w:b/>
              </w:rPr>
              <w:t>assigned as</w:t>
            </w:r>
            <w:r w:rsidRPr="009F0FF4">
              <w:rPr>
                <w:b/>
              </w:rPr>
              <w:t xml:space="preserve"> active recreation</w:t>
            </w:r>
          </w:p>
        </w:tc>
        <w:tc>
          <w:tcPr>
            <w:tcW w:w="1843" w:type="dxa"/>
            <w:vAlign w:val="bottom"/>
            <w:hideMark/>
          </w:tcPr>
          <w:p w:rsidR="00C35E45" w:rsidRPr="009F0FF4" w:rsidRDefault="00B16494" w:rsidP="002F27A9">
            <w:pPr>
              <w:pStyle w:val="Tablerow"/>
              <w:rPr>
                <w:b/>
              </w:rPr>
            </w:pPr>
            <w:r w:rsidRPr="009F0FF4">
              <w:rPr>
                <w:b/>
              </w:rPr>
              <w:t xml:space="preserve">Total estimated session time per year - </w:t>
            </w:r>
            <w:r w:rsidR="00C35E45" w:rsidRPr="009F0FF4">
              <w:rPr>
                <w:b/>
              </w:rPr>
              <w:t>Active recreation</w:t>
            </w:r>
          </w:p>
          <w:p w:rsidR="00C35E45" w:rsidRPr="009F0FF4" w:rsidRDefault="00C35E45" w:rsidP="002F27A9">
            <w:pPr>
              <w:pStyle w:val="Tablerow"/>
              <w:rPr>
                <w:b/>
              </w:rPr>
            </w:pPr>
            <w:r w:rsidRPr="009F0FF4">
              <w:rPr>
                <w:b/>
              </w:rPr>
              <w:t>(</w:t>
            </w:r>
            <w:r w:rsidR="007F5A54" w:rsidRPr="009F0FF4">
              <w:rPr>
                <w:b/>
              </w:rPr>
              <w:t>’</w:t>
            </w:r>
            <w:r w:rsidRPr="009F0FF4">
              <w:rPr>
                <w:b/>
              </w:rPr>
              <w:t xml:space="preserve">000 </w:t>
            </w:r>
            <w:r w:rsidR="0063487C" w:rsidRPr="009F0FF4">
              <w:rPr>
                <w:b/>
              </w:rPr>
              <w:t>hours</w:t>
            </w:r>
            <w:r w:rsidRPr="009F0FF4">
              <w:rPr>
                <w:b/>
              </w:rPr>
              <w:t>)</w:t>
            </w:r>
          </w:p>
        </w:tc>
        <w:tc>
          <w:tcPr>
            <w:tcW w:w="1700" w:type="dxa"/>
            <w:vAlign w:val="bottom"/>
            <w:hideMark/>
          </w:tcPr>
          <w:p w:rsidR="00C35E45" w:rsidRPr="009F0FF4" w:rsidRDefault="00B16494" w:rsidP="002F27A9">
            <w:pPr>
              <w:pStyle w:val="Tablerow"/>
              <w:rPr>
                <w:b/>
              </w:rPr>
            </w:pPr>
            <w:r w:rsidRPr="009F0FF4">
              <w:rPr>
                <w:b/>
              </w:rPr>
              <w:t xml:space="preserve">Total estimated session time per year - </w:t>
            </w:r>
            <w:r w:rsidR="00C35E45" w:rsidRPr="009F0FF4">
              <w:rPr>
                <w:b/>
              </w:rPr>
              <w:t>Sport</w:t>
            </w:r>
            <w:r w:rsidR="00C35E45" w:rsidRPr="009F0FF4">
              <w:rPr>
                <w:b/>
              </w:rPr>
              <w:br/>
              <w:t>(</w:t>
            </w:r>
            <w:r w:rsidR="007F5A54" w:rsidRPr="009F0FF4">
              <w:rPr>
                <w:b/>
              </w:rPr>
              <w:t>’</w:t>
            </w:r>
            <w:r w:rsidR="00C35E45" w:rsidRPr="009F0FF4">
              <w:rPr>
                <w:b/>
              </w:rPr>
              <w:t xml:space="preserve">000 </w:t>
            </w:r>
            <w:r w:rsidR="0042742E" w:rsidRPr="009F0FF4">
              <w:rPr>
                <w:b/>
              </w:rPr>
              <w:t>hours</w:t>
            </w:r>
            <w:r w:rsidR="00C35E45" w:rsidRPr="009F0FF4">
              <w:rPr>
                <w:b/>
              </w:rPr>
              <w:t>)</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Total</w:t>
            </w:r>
          </w:p>
        </w:tc>
        <w:tc>
          <w:tcPr>
            <w:tcW w:w="1952" w:type="dxa"/>
            <w:noWrap/>
          </w:tcPr>
          <w:p w:rsidR="00CC2E98" w:rsidRPr="00F90D20" w:rsidRDefault="00CC2E98" w:rsidP="002F27A9">
            <w:pPr>
              <w:pStyle w:val="Tablerow"/>
            </w:pPr>
            <w:r w:rsidRPr="00F90D20">
              <w:t>4,838</w:t>
            </w:r>
          </w:p>
        </w:tc>
        <w:tc>
          <w:tcPr>
            <w:tcW w:w="1953" w:type="dxa"/>
            <w:noWrap/>
          </w:tcPr>
          <w:p w:rsidR="00CC2E98" w:rsidRPr="00F90D20" w:rsidRDefault="00CC2E98" w:rsidP="002F27A9">
            <w:pPr>
              <w:pStyle w:val="Tablerow"/>
            </w:pPr>
            <w:r w:rsidRPr="00F90D20">
              <w:t>81.1%</w:t>
            </w:r>
          </w:p>
        </w:tc>
        <w:tc>
          <w:tcPr>
            <w:tcW w:w="2049" w:type="dxa"/>
            <w:noWrap/>
          </w:tcPr>
          <w:p w:rsidR="00CC2E98" w:rsidRPr="00F90D20" w:rsidRDefault="00CC2E98" w:rsidP="002F27A9">
            <w:pPr>
              <w:pStyle w:val="Tablerow"/>
            </w:pPr>
            <w:r w:rsidRPr="00F90D20">
              <w:t>836,895</w:t>
            </w:r>
          </w:p>
        </w:tc>
        <w:tc>
          <w:tcPr>
            <w:tcW w:w="2268" w:type="dxa"/>
            <w:noWrap/>
          </w:tcPr>
          <w:p w:rsidR="00CC2E98" w:rsidRPr="00F90D20" w:rsidRDefault="00CC2E98" w:rsidP="002F27A9">
            <w:pPr>
              <w:pStyle w:val="Tablerow"/>
            </w:pPr>
            <w:r w:rsidRPr="00F90D20">
              <w:t>87%</w:t>
            </w:r>
          </w:p>
        </w:tc>
        <w:tc>
          <w:tcPr>
            <w:tcW w:w="1843" w:type="dxa"/>
            <w:noWrap/>
          </w:tcPr>
          <w:p w:rsidR="00CC2E98" w:rsidRPr="00F90D20" w:rsidRDefault="00CC2E98" w:rsidP="002F27A9">
            <w:pPr>
              <w:pStyle w:val="Tablerow"/>
            </w:pPr>
            <w:r w:rsidRPr="00F90D20">
              <w:t>612,236</w:t>
            </w:r>
          </w:p>
        </w:tc>
        <w:tc>
          <w:tcPr>
            <w:tcW w:w="1700" w:type="dxa"/>
            <w:noWrap/>
          </w:tcPr>
          <w:p w:rsidR="00CC2E98" w:rsidRPr="00F90D20" w:rsidRDefault="00CC2E98" w:rsidP="002F27A9">
            <w:pPr>
              <w:pStyle w:val="Tablerow"/>
            </w:pPr>
            <w:r w:rsidRPr="00F90D20">
              <w:t>161,524</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Walking</w:t>
            </w:r>
          </w:p>
        </w:tc>
        <w:tc>
          <w:tcPr>
            <w:tcW w:w="1952" w:type="dxa"/>
            <w:noWrap/>
          </w:tcPr>
          <w:p w:rsidR="00CC2E98" w:rsidRPr="00F90D20" w:rsidRDefault="00CC2E98" w:rsidP="002F27A9">
            <w:pPr>
              <w:pStyle w:val="Tablerow"/>
            </w:pPr>
            <w:r w:rsidRPr="00F90D20">
              <w:t>1,979</w:t>
            </w:r>
          </w:p>
        </w:tc>
        <w:tc>
          <w:tcPr>
            <w:tcW w:w="1953" w:type="dxa"/>
            <w:noWrap/>
          </w:tcPr>
          <w:p w:rsidR="00CC2E98" w:rsidRPr="00F90D20" w:rsidRDefault="00CC2E98" w:rsidP="002F27A9">
            <w:pPr>
              <w:pStyle w:val="Tablerow"/>
            </w:pPr>
            <w:r w:rsidRPr="00F90D20">
              <w:t>41%</w:t>
            </w:r>
          </w:p>
        </w:tc>
        <w:tc>
          <w:tcPr>
            <w:tcW w:w="2049" w:type="dxa"/>
            <w:noWrap/>
          </w:tcPr>
          <w:p w:rsidR="00CC2E98" w:rsidRPr="00F90D20" w:rsidRDefault="00CC2E98" w:rsidP="002F27A9">
            <w:pPr>
              <w:pStyle w:val="Tablerow"/>
            </w:pPr>
            <w:r w:rsidRPr="00F90D20">
              <w:t>367,568</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285,383</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Gymnasium workouts</w:t>
            </w:r>
          </w:p>
        </w:tc>
        <w:tc>
          <w:tcPr>
            <w:tcW w:w="1952" w:type="dxa"/>
            <w:noWrap/>
          </w:tcPr>
          <w:p w:rsidR="00CC2E98" w:rsidRPr="00F90D20" w:rsidRDefault="00CC2E98" w:rsidP="002F27A9">
            <w:pPr>
              <w:pStyle w:val="Tablerow"/>
            </w:pPr>
            <w:r w:rsidRPr="00F90D20">
              <w:t>714</w:t>
            </w:r>
          </w:p>
        </w:tc>
        <w:tc>
          <w:tcPr>
            <w:tcW w:w="1953" w:type="dxa"/>
            <w:noWrap/>
          </w:tcPr>
          <w:p w:rsidR="00CC2E98" w:rsidRPr="00F90D20" w:rsidRDefault="00CC2E98" w:rsidP="002F27A9">
            <w:pPr>
              <w:pStyle w:val="Tablerow"/>
            </w:pPr>
            <w:r w:rsidRPr="00F90D20">
              <w:t>15%</w:t>
            </w:r>
          </w:p>
        </w:tc>
        <w:tc>
          <w:tcPr>
            <w:tcW w:w="2049" w:type="dxa"/>
            <w:noWrap/>
          </w:tcPr>
          <w:p w:rsidR="00CC2E98" w:rsidRPr="00F90D20" w:rsidRDefault="00CC2E98" w:rsidP="002F27A9">
            <w:pPr>
              <w:pStyle w:val="Tablerow"/>
            </w:pPr>
            <w:r w:rsidRPr="00F90D20">
              <w:t>83,108</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67,188</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Swimming</w:t>
            </w:r>
          </w:p>
        </w:tc>
        <w:tc>
          <w:tcPr>
            <w:tcW w:w="1952" w:type="dxa"/>
            <w:noWrap/>
          </w:tcPr>
          <w:p w:rsidR="00CC2E98" w:rsidRPr="00F90D20" w:rsidRDefault="00CC2E98" w:rsidP="002F27A9">
            <w:pPr>
              <w:pStyle w:val="Tablerow"/>
            </w:pPr>
            <w:r w:rsidRPr="00F90D20">
              <w:t>600</w:t>
            </w:r>
          </w:p>
        </w:tc>
        <w:tc>
          <w:tcPr>
            <w:tcW w:w="1953" w:type="dxa"/>
            <w:noWrap/>
          </w:tcPr>
          <w:p w:rsidR="00CC2E98" w:rsidRPr="00F90D20" w:rsidRDefault="00CC2E98" w:rsidP="002F27A9">
            <w:pPr>
              <w:pStyle w:val="Tablerow"/>
            </w:pPr>
            <w:r w:rsidRPr="00F90D20">
              <w:t>12%</w:t>
            </w:r>
          </w:p>
        </w:tc>
        <w:tc>
          <w:tcPr>
            <w:tcW w:w="2049" w:type="dxa"/>
            <w:noWrap/>
          </w:tcPr>
          <w:p w:rsidR="00CC2E98" w:rsidRPr="00F90D20" w:rsidRDefault="00CC2E98" w:rsidP="002F27A9">
            <w:pPr>
              <w:pStyle w:val="Tablerow"/>
            </w:pPr>
            <w:r w:rsidRPr="00F90D20">
              <w:t>32,443</w:t>
            </w:r>
          </w:p>
        </w:tc>
        <w:tc>
          <w:tcPr>
            <w:tcW w:w="2268" w:type="dxa"/>
            <w:noWrap/>
          </w:tcPr>
          <w:p w:rsidR="00CC2E98" w:rsidRPr="00F90D20" w:rsidRDefault="00CC2E98" w:rsidP="002F27A9">
            <w:pPr>
              <w:pStyle w:val="Tablerow"/>
            </w:pPr>
            <w:r w:rsidRPr="00F90D20">
              <w:t>82%</w:t>
            </w:r>
          </w:p>
        </w:tc>
        <w:tc>
          <w:tcPr>
            <w:tcW w:w="1843" w:type="dxa"/>
            <w:noWrap/>
          </w:tcPr>
          <w:p w:rsidR="00CC2E98" w:rsidRPr="00F90D20" w:rsidRDefault="00CC2E98" w:rsidP="002F27A9">
            <w:pPr>
              <w:pStyle w:val="Tablerow"/>
            </w:pPr>
            <w:r w:rsidRPr="00F90D20">
              <w:t>15,088</w:t>
            </w:r>
          </w:p>
        </w:tc>
        <w:tc>
          <w:tcPr>
            <w:tcW w:w="1700" w:type="dxa"/>
            <w:noWrap/>
          </w:tcPr>
          <w:p w:rsidR="00CC2E98" w:rsidRPr="00F90D20" w:rsidRDefault="00CC2E98" w:rsidP="002F27A9">
            <w:pPr>
              <w:pStyle w:val="Tablerow"/>
            </w:pPr>
            <w:r w:rsidRPr="00F90D20">
              <w:t>4,927</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Cycling</w:t>
            </w:r>
          </w:p>
        </w:tc>
        <w:tc>
          <w:tcPr>
            <w:tcW w:w="1952" w:type="dxa"/>
            <w:noWrap/>
          </w:tcPr>
          <w:p w:rsidR="00CC2E98" w:rsidRPr="00F90D20" w:rsidRDefault="00CC2E98" w:rsidP="002F27A9">
            <w:pPr>
              <w:pStyle w:val="Tablerow"/>
            </w:pPr>
            <w:r w:rsidRPr="00F90D20">
              <w:t>515</w:t>
            </w:r>
          </w:p>
        </w:tc>
        <w:tc>
          <w:tcPr>
            <w:tcW w:w="1953" w:type="dxa"/>
            <w:noWrap/>
          </w:tcPr>
          <w:p w:rsidR="00CC2E98" w:rsidRPr="00F90D20" w:rsidRDefault="00CC2E98" w:rsidP="002F27A9">
            <w:pPr>
              <w:pStyle w:val="Tablerow"/>
            </w:pPr>
            <w:r w:rsidRPr="00F90D20">
              <w:t>11%</w:t>
            </w:r>
          </w:p>
        </w:tc>
        <w:tc>
          <w:tcPr>
            <w:tcW w:w="2049" w:type="dxa"/>
            <w:noWrap/>
          </w:tcPr>
          <w:p w:rsidR="00CC2E98" w:rsidRPr="00F90D20" w:rsidRDefault="00CC2E98" w:rsidP="002F27A9">
            <w:pPr>
              <w:pStyle w:val="Tablerow"/>
            </w:pPr>
            <w:r w:rsidRPr="00F90D20">
              <w:t>45,121</w:t>
            </w:r>
          </w:p>
        </w:tc>
        <w:tc>
          <w:tcPr>
            <w:tcW w:w="2268" w:type="dxa"/>
            <w:noWrap/>
          </w:tcPr>
          <w:p w:rsidR="00CC2E98" w:rsidRPr="00F90D20" w:rsidRDefault="00CC2E98" w:rsidP="002F27A9">
            <w:pPr>
              <w:pStyle w:val="Tablerow"/>
            </w:pPr>
            <w:r w:rsidRPr="00F90D20">
              <w:t>85%</w:t>
            </w:r>
          </w:p>
        </w:tc>
        <w:tc>
          <w:tcPr>
            <w:tcW w:w="1843" w:type="dxa"/>
            <w:noWrap/>
          </w:tcPr>
          <w:p w:rsidR="00CC2E98" w:rsidRPr="00F90D20" w:rsidRDefault="00CC2E98" w:rsidP="002F27A9">
            <w:pPr>
              <w:pStyle w:val="Tablerow"/>
            </w:pPr>
            <w:r w:rsidRPr="00F90D20">
              <w:t>27,592</w:t>
            </w:r>
          </w:p>
        </w:tc>
        <w:tc>
          <w:tcPr>
            <w:tcW w:w="1700" w:type="dxa"/>
            <w:noWrap/>
          </w:tcPr>
          <w:p w:rsidR="00CC2E98" w:rsidRPr="00F90D20" w:rsidRDefault="00CC2E98" w:rsidP="002F27A9">
            <w:pPr>
              <w:pStyle w:val="Tablerow"/>
            </w:pPr>
            <w:r w:rsidRPr="00F90D20">
              <w:t>9,551</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Golf</w:t>
            </w:r>
          </w:p>
        </w:tc>
        <w:tc>
          <w:tcPr>
            <w:tcW w:w="1952" w:type="dxa"/>
            <w:noWrap/>
          </w:tcPr>
          <w:p w:rsidR="00CC2E98" w:rsidRPr="00F90D20" w:rsidRDefault="00CC2E98" w:rsidP="002F27A9">
            <w:pPr>
              <w:pStyle w:val="Tablerow"/>
            </w:pPr>
            <w:r w:rsidRPr="00F90D20">
              <w:t>350</w:t>
            </w:r>
          </w:p>
        </w:tc>
        <w:tc>
          <w:tcPr>
            <w:tcW w:w="1953" w:type="dxa"/>
            <w:noWrap/>
          </w:tcPr>
          <w:p w:rsidR="00CC2E98" w:rsidRPr="00F90D20" w:rsidRDefault="00CC2E98" w:rsidP="002F27A9">
            <w:pPr>
              <w:pStyle w:val="Tablerow"/>
            </w:pPr>
            <w:r w:rsidRPr="00F90D20">
              <w:t>7%</w:t>
            </w:r>
          </w:p>
        </w:tc>
        <w:tc>
          <w:tcPr>
            <w:tcW w:w="2049" w:type="dxa"/>
            <w:noWrap/>
          </w:tcPr>
          <w:p w:rsidR="00CC2E98" w:rsidRPr="00F90D20" w:rsidRDefault="00CC2E98" w:rsidP="002F27A9">
            <w:pPr>
              <w:pStyle w:val="Tablerow"/>
            </w:pPr>
            <w:r w:rsidRPr="00F90D20">
              <w:t>16,420</w:t>
            </w:r>
          </w:p>
        </w:tc>
        <w:tc>
          <w:tcPr>
            <w:tcW w:w="2268" w:type="dxa"/>
            <w:noWrap/>
          </w:tcPr>
          <w:p w:rsidR="00CC2E98" w:rsidRPr="00F90D20" w:rsidRDefault="00CC2E98" w:rsidP="002F27A9">
            <w:pPr>
              <w:pStyle w:val="Tablerow"/>
            </w:pPr>
            <w:r w:rsidRPr="00F90D20">
              <w:t>75%</w:t>
            </w:r>
          </w:p>
        </w:tc>
        <w:tc>
          <w:tcPr>
            <w:tcW w:w="1843" w:type="dxa"/>
            <w:noWrap/>
          </w:tcPr>
          <w:p w:rsidR="00CC2E98" w:rsidRPr="00F90D20" w:rsidRDefault="00CC2E98" w:rsidP="002F27A9">
            <w:pPr>
              <w:pStyle w:val="Tablerow"/>
            </w:pPr>
            <w:r w:rsidRPr="00F90D20">
              <w:t>38,236</w:t>
            </w:r>
          </w:p>
        </w:tc>
        <w:tc>
          <w:tcPr>
            <w:tcW w:w="1700" w:type="dxa"/>
            <w:noWrap/>
          </w:tcPr>
          <w:p w:rsidR="00CC2E98" w:rsidRPr="00F90D20" w:rsidRDefault="00CC2E98" w:rsidP="002F27A9">
            <w:pPr>
              <w:pStyle w:val="Tablerow"/>
            </w:pPr>
            <w:r w:rsidRPr="00F90D20">
              <w:t>12,745</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Aerobics/exercising/other</w:t>
            </w:r>
          </w:p>
        </w:tc>
        <w:tc>
          <w:tcPr>
            <w:tcW w:w="1952" w:type="dxa"/>
            <w:noWrap/>
          </w:tcPr>
          <w:p w:rsidR="00CC2E98" w:rsidRPr="00F90D20" w:rsidRDefault="00CC2E98" w:rsidP="002F27A9">
            <w:pPr>
              <w:pStyle w:val="Tablerow"/>
            </w:pPr>
            <w:r w:rsidRPr="00F90D20">
              <w:t>329</w:t>
            </w:r>
          </w:p>
        </w:tc>
        <w:tc>
          <w:tcPr>
            <w:tcW w:w="1953" w:type="dxa"/>
            <w:noWrap/>
          </w:tcPr>
          <w:p w:rsidR="00CC2E98" w:rsidRPr="00F90D20" w:rsidRDefault="00CC2E98" w:rsidP="002F27A9">
            <w:pPr>
              <w:pStyle w:val="Tablerow"/>
            </w:pPr>
            <w:r w:rsidRPr="00F90D20">
              <w:t>7%</w:t>
            </w:r>
          </w:p>
        </w:tc>
        <w:tc>
          <w:tcPr>
            <w:tcW w:w="2049" w:type="dxa"/>
            <w:noWrap/>
          </w:tcPr>
          <w:p w:rsidR="00CC2E98" w:rsidRPr="00F90D20" w:rsidRDefault="00CC2E98" w:rsidP="002F27A9">
            <w:pPr>
              <w:pStyle w:val="Tablerow"/>
            </w:pPr>
            <w:r w:rsidRPr="00F90D20">
              <w:t>38,968</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21,862</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Tennis (outdoor)</w:t>
            </w:r>
          </w:p>
        </w:tc>
        <w:tc>
          <w:tcPr>
            <w:tcW w:w="1952" w:type="dxa"/>
            <w:noWrap/>
          </w:tcPr>
          <w:p w:rsidR="00CC2E98" w:rsidRPr="00F90D20" w:rsidRDefault="00CC2E98" w:rsidP="002F27A9">
            <w:pPr>
              <w:pStyle w:val="Tablerow"/>
            </w:pPr>
            <w:r w:rsidRPr="00F90D20">
              <w:t>289</w:t>
            </w:r>
          </w:p>
        </w:tc>
        <w:tc>
          <w:tcPr>
            <w:tcW w:w="1953" w:type="dxa"/>
            <w:noWrap/>
          </w:tcPr>
          <w:p w:rsidR="00CC2E98" w:rsidRPr="00F90D20" w:rsidRDefault="00CC2E98" w:rsidP="002F27A9">
            <w:pPr>
              <w:pStyle w:val="Tablerow"/>
            </w:pPr>
            <w:r w:rsidRPr="00F90D20">
              <w:t>6%</w:t>
            </w:r>
          </w:p>
        </w:tc>
        <w:tc>
          <w:tcPr>
            <w:tcW w:w="2049" w:type="dxa"/>
            <w:noWrap/>
          </w:tcPr>
          <w:p w:rsidR="00CC2E98" w:rsidRPr="00F90D20" w:rsidRDefault="00CC2E98" w:rsidP="002F27A9">
            <w:pPr>
              <w:pStyle w:val="Tablerow"/>
            </w:pPr>
            <w:r w:rsidRPr="00F90D20">
              <w:t>13,055</w:t>
            </w:r>
          </w:p>
        </w:tc>
        <w:tc>
          <w:tcPr>
            <w:tcW w:w="2268" w:type="dxa"/>
            <w:noWrap/>
          </w:tcPr>
          <w:p w:rsidR="00CC2E98" w:rsidRPr="00F90D20" w:rsidRDefault="00CC2E98" w:rsidP="002F27A9">
            <w:pPr>
              <w:pStyle w:val="Tablerow"/>
            </w:pPr>
            <w:r w:rsidRPr="00F90D20">
              <w:t>70%</w:t>
            </w:r>
          </w:p>
        </w:tc>
        <w:tc>
          <w:tcPr>
            <w:tcW w:w="1843" w:type="dxa"/>
            <w:noWrap/>
          </w:tcPr>
          <w:p w:rsidR="00CC2E98" w:rsidRPr="00F90D20" w:rsidRDefault="00CC2E98" w:rsidP="002F27A9">
            <w:pPr>
              <w:pStyle w:val="Tablerow"/>
            </w:pPr>
            <w:r w:rsidRPr="00F90D20">
              <w:t>15,082</w:t>
            </w:r>
          </w:p>
        </w:tc>
        <w:tc>
          <w:tcPr>
            <w:tcW w:w="1700" w:type="dxa"/>
            <w:noWrap/>
          </w:tcPr>
          <w:p w:rsidR="00CC2E98" w:rsidRPr="00F90D20" w:rsidRDefault="00CC2E98" w:rsidP="002F27A9">
            <w:pPr>
              <w:pStyle w:val="Tablerow"/>
            </w:pPr>
            <w:r w:rsidRPr="00F90D20">
              <w:t>6,464</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Walking—bush</w:t>
            </w:r>
          </w:p>
        </w:tc>
        <w:tc>
          <w:tcPr>
            <w:tcW w:w="1952" w:type="dxa"/>
            <w:noWrap/>
          </w:tcPr>
          <w:p w:rsidR="00CC2E98" w:rsidRPr="00F90D20" w:rsidRDefault="00CC2E98" w:rsidP="002F27A9">
            <w:pPr>
              <w:pStyle w:val="Tablerow"/>
            </w:pPr>
            <w:r w:rsidRPr="00F90D20">
              <w:t>247</w:t>
            </w:r>
          </w:p>
        </w:tc>
        <w:tc>
          <w:tcPr>
            <w:tcW w:w="1953" w:type="dxa"/>
            <w:noWrap/>
          </w:tcPr>
          <w:p w:rsidR="00CC2E98" w:rsidRPr="00F90D20" w:rsidRDefault="00CC2E98" w:rsidP="002F27A9">
            <w:pPr>
              <w:pStyle w:val="Tablerow"/>
            </w:pPr>
            <w:r w:rsidRPr="00F90D20">
              <w:t>5%</w:t>
            </w:r>
          </w:p>
        </w:tc>
        <w:tc>
          <w:tcPr>
            <w:tcW w:w="2049" w:type="dxa"/>
            <w:noWrap/>
          </w:tcPr>
          <w:p w:rsidR="00CC2E98" w:rsidRPr="00F90D20" w:rsidRDefault="00CC2E98" w:rsidP="002F27A9">
            <w:pPr>
              <w:pStyle w:val="Tablerow"/>
            </w:pPr>
            <w:r w:rsidRPr="00F90D20">
              <w:t>11,909</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14,777</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Running (for example, marathon)</w:t>
            </w:r>
          </w:p>
        </w:tc>
        <w:tc>
          <w:tcPr>
            <w:tcW w:w="1952" w:type="dxa"/>
            <w:noWrap/>
          </w:tcPr>
          <w:p w:rsidR="00CC2E98" w:rsidRPr="00F90D20" w:rsidRDefault="00CC2E98" w:rsidP="002F27A9">
            <w:pPr>
              <w:pStyle w:val="Tablerow"/>
            </w:pPr>
            <w:r w:rsidRPr="00F90D20">
              <w:t>228</w:t>
            </w:r>
          </w:p>
        </w:tc>
        <w:tc>
          <w:tcPr>
            <w:tcW w:w="1953" w:type="dxa"/>
            <w:noWrap/>
          </w:tcPr>
          <w:p w:rsidR="00CC2E98" w:rsidRPr="00F90D20" w:rsidRDefault="00CC2E98" w:rsidP="002F27A9">
            <w:pPr>
              <w:pStyle w:val="Tablerow"/>
            </w:pPr>
            <w:r w:rsidRPr="00F90D20">
              <w:t>5%</w:t>
            </w:r>
          </w:p>
        </w:tc>
        <w:tc>
          <w:tcPr>
            <w:tcW w:w="2049" w:type="dxa"/>
            <w:noWrap/>
          </w:tcPr>
          <w:p w:rsidR="00CC2E98" w:rsidRPr="00F90D20" w:rsidRDefault="00CC2E98" w:rsidP="002F27A9">
            <w:pPr>
              <w:pStyle w:val="Tablerow"/>
            </w:pPr>
            <w:r w:rsidRPr="00F90D20">
              <w:t>24,434</w:t>
            </w:r>
          </w:p>
        </w:tc>
        <w:tc>
          <w:tcPr>
            <w:tcW w:w="2268" w:type="dxa"/>
            <w:noWrap/>
          </w:tcPr>
          <w:p w:rsidR="00CC2E98" w:rsidRPr="00F90D20" w:rsidRDefault="00CC2E98" w:rsidP="002F27A9">
            <w:pPr>
              <w:pStyle w:val="Tablerow"/>
            </w:pPr>
            <w:r w:rsidRPr="00F90D20">
              <w:t>77%</w:t>
            </w:r>
          </w:p>
        </w:tc>
        <w:tc>
          <w:tcPr>
            <w:tcW w:w="1843" w:type="dxa"/>
            <w:noWrap/>
          </w:tcPr>
          <w:p w:rsidR="00CC2E98" w:rsidRPr="00F90D20" w:rsidRDefault="00CC2E98" w:rsidP="002F27A9">
            <w:pPr>
              <w:pStyle w:val="Tablerow"/>
            </w:pPr>
            <w:r w:rsidRPr="00F90D20">
              <w:t>12,149</w:t>
            </w:r>
          </w:p>
        </w:tc>
        <w:tc>
          <w:tcPr>
            <w:tcW w:w="1700" w:type="dxa"/>
            <w:noWrap/>
          </w:tcPr>
          <w:p w:rsidR="00CC2E98" w:rsidRPr="00F90D20" w:rsidRDefault="00CC2E98" w:rsidP="002F27A9">
            <w:pPr>
              <w:pStyle w:val="Tablerow"/>
            </w:pPr>
            <w:r w:rsidRPr="00F90D20">
              <w:t>3,708</w:t>
            </w:r>
          </w:p>
        </w:tc>
      </w:tr>
      <w:tr w:rsidR="00CC2E98" w:rsidRPr="00F90D20" w:rsidTr="009F0FF4">
        <w:trPr>
          <w:trHeight w:val="220"/>
        </w:trPr>
        <w:tc>
          <w:tcPr>
            <w:tcW w:w="3544" w:type="dxa"/>
            <w:noWrap/>
            <w:vAlign w:val="center"/>
          </w:tcPr>
          <w:p w:rsidR="00CC2E98" w:rsidRPr="00F90D20" w:rsidRDefault="00CC2E98" w:rsidP="002F27A9">
            <w:pPr>
              <w:pStyle w:val="Tablerow"/>
            </w:pPr>
            <w:r w:rsidRPr="00F90D20">
              <w:t>Jogging</w:t>
            </w:r>
          </w:p>
        </w:tc>
        <w:tc>
          <w:tcPr>
            <w:tcW w:w="1952" w:type="dxa"/>
            <w:noWrap/>
          </w:tcPr>
          <w:p w:rsidR="00CC2E98" w:rsidRPr="00F90D20" w:rsidRDefault="00CC2E98" w:rsidP="002F27A9">
            <w:pPr>
              <w:pStyle w:val="Tablerow"/>
            </w:pPr>
            <w:r w:rsidRPr="00F90D20">
              <w:t>203</w:t>
            </w:r>
          </w:p>
        </w:tc>
        <w:tc>
          <w:tcPr>
            <w:tcW w:w="1953" w:type="dxa"/>
            <w:noWrap/>
          </w:tcPr>
          <w:p w:rsidR="00CC2E98" w:rsidRPr="00F90D20" w:rsidRDefault="00CC2E98" w:rsidP="002F27A9">
            <w:pPr>
              <w:pStyle w:val="Tablerow"/>
            </w:pPr>
            <w:r w:rsidRPr="00F90D20">
              <w:t>4%</w:t>
            </w:r>
          </w:p>
        </w:tc>
        <w:tc>
          <w:tcPr>
            <w:tcW w:w="2049" w:type="dxa"/>
            <w:noWrap/>
          </w:tcPr>
          <w:p w:rsidR="00CC2E98" w:rsidRPr="00F90D20" w:rsidRDefault="00CC2E98" w:rsidP="002F27A9">
            <w:pPr>
              <w:pStyle w:val="Tablerow"/>
            </w:pPr>
            <w:r w:rsidRPr="00F90D20">
              <w:t>20,272</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10,545</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Yoga</w:t>
            </w:r>
          </w:p>
        </w:tc>
        <w:tc>
          <w:tcPr>
            <w:tcW w:w="1952" w:type="dxa"/>
            <w:noWrap/>
          </w:tcPr>
          <w:p w:rsidR="00CC2E98" w:rsidRPr="00F90D20" w:rsidRDefault="00CC2E98" w:rsidP="002F27A9">
            <w:pPr>
              <w:pStyle w:val="Tablerow"/>
            </w:pPr>
            <w:r w:rsidRPr="00F90D20">
              <w:t>177</w:t>
            </w:r>
          </w:p>
        </w:tc>
        <w:tc>
          <w:tcPr>
            <w:tcW w:w="1953" w:type="dxa"/>
            <w:noWrap/>
          </w:tcPr>
          <w:p w:rsidR="00CC2E98" w:rsidRPr="00F90D20" w:rsidRDefault="00CC2E98" w:rsidP="002F27A9">
            <w:pPr>
              <w:pStyle w:val="Tablerow"/>
            </w:pPr>
            <w:r w:rsidRPr="00F90D20">
              <w:t>4%</w:t>
            </w:r>
          </w:p>
        </w:tc>
        <w:tc>
          <w:tcPr>
            <w:tcW w:w="2049" w:type="dxa"/>
            <w:noWrap/>
          </w:tcPr>
          <w:p w:rsidR="00CC2E98" w:rsidRPr="00F90D20" w:rsidRDefault="00CC2E98" w:rsidP="002F27A9">
            <w:pPr>
              <w:pStyle w:val="Tablerow"/>
            </w:pPr>
            <w:r w:rsidRPr="00F90D20">
              <w:t>12,333</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10,195</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Basketball (indoor and outdoor)</w:t>
            </w:r>
          </w:p>
        </w:tc>
        <w:tc>
          <w:tcPr>
            <w:tcW w:w="1952" w:type="dxa"/>
            <w:noWrap/>
          </w:tcPr>
          <w:p w:rsidR="00CC2E98" w:rsidRPr="00F90D20" w:rsidRDefault="00CC2E98" w:rsidP="002F27A9">
            <w:pPr>
              <w:pStyle w:val="Tablerow"/>
            </w:pPr>
            <w:r w:rsidRPr="00F90D20">
              <w:t>165</w:t>
            </w:r>
          </w:p>
        </w:tc>
        <w:tc>
          <w:tcPr>
            <w:tcW w:w="1953" w:type="dxa"/>
            <w:noWrap/>
          </w:tcPr>
          <w:p w:rsidR="00CC2E98" w:rsidRPr="00F90D20" w:rsidRDefault="00CC2E98" w:rsidP="002F27A9">
            <w:pPr>
              <w:pStyle w:val="Tablerow"/>
            </w:pPr>
            <w:r w:rsidRPr="00F90D20">
              <w:t>3%</w:t>
            </w:r>
          </w:p>
        </w:tc>
        <w:tc>
          <w:tcPr>
            <w:tcW w:w="2049" w:type="dxa"/>
            <w:noWrap/>
          </w:tcPr>
          <w:p w:rsidR="00CC2E98" w:rsidRPr="00F90D20" w:rsidRDefault="00CC2E98" w:rsidP="002F27A9">
            <w:pPr>
              <w:pStyle w:val="Tablerow"/>
            </w:pPr>
            <w:r w:rsidRPr="00F90D20">
              <w:t>11,007</w:t>
            </w:r>
          </w:p>
        </w:tc>
        <w:tc>
          <w:tcPr>
            <w:tcW w:w="2268" w:type="dxa"/>
            <w:noWrap/>
          </w:tcPr>
          <w:p w:rsidR="00CC2E98" w:rsidRPr="00F90D20" w:rsidRDefault="00CC2E98" w:rsidP="002F27A9">
            <w:pPr>
              <w:pStyle w:val="Tablerow"/>
            </w:pPr>
            <w:r w:rsidRPr="00F90D20">
              <w:t>19%</w:t>
            </w:r>
          </w:p>
        </w:tc>
        <w:tc>
          <w:tcPr>
            <w:tcW w:w="1843" w:type="dxa"/>
            <w:noWrap/>
          </w:tcPr>
          <w:p w:rsidR="00CC2E98" w:rsidRPr="00F90D20" w:rsidRDefault="00CC2E98" w:rsidP="002F27A9">
            <w:pPr>
              <w:pStyle w:val="Tablerow"/>
            </w:pPr>
            <w:r w:rsidRPr="00F90D20">
              <w:t>1,738</w:t>
            </w:r>
          </w:p>
        </w:tc>
        <w:tc>
          <w:tcPr>
            <w:tcW w:w="1700" w:type="dxa"/>
            <w:noWrap/>
          </w:tcPr>
          <w:p w:rsidR="00CC2E98" w:rsidRPr="00F90D20" w:rsidRDefault="00CC2E98" w:rsidP="002F27A9">
            <w:pPr>
              <w:pStyle w:val="Tablerow"/>
            </w:pPr>
            <w:r w:rsidRPr="00F90D20">
              <w:t>7,170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Football—Australian rules</w:t>
            </w:r>
          </w:p>
        </w:tc>
        <w:tc>
          <w:tcPr>
            <w:tcW w:w="1952" w:type="dxa"/>
            <w:noWrap/>
          </w:tcPr>
          <w:p w:rsidR="00CC2E98" w:rsidRPr="00F90D20" w:rsidRDefault="00CC2E98" w:rsidP="002F27A9">
            <w:pPr>
              <w:pStyle w:val="Tablerow"/>
            </w:pPr>
            <w:r w:rsidRPr="00F90D20">
              <w:t>163</w:t>
            </w:r>
          </w:p>
        </w:tc>
        <w:tc>
          <w:tcPr>
            <w:tcW w:w="1953" w:type="dxa"/>
            <w:noWrap/>
          </w:tcPr>
          <w:p w:rsidR="00CC2E98" w:rsidRPr="00F90D20" w:rsidRDefault="00CC2E98" w:rsidP="002F27A9">
            <w:pPr>
              <w:pStyle w:val="Tablerow"/>
            </w:pPr>
            <w:r w:rsidRPr="00F90D20">
              <w:t>3%</w:t>
            </w:r>
          </w:p>
        </w:tc>
        <w:tc>
          <w:tcPr>
            <w:tcW w:w="2049" w:type="dxa"/>
            <w:noWrap/>
          </w:tcPr>
          <w:p w:rsidR="00CC2E98" w:rsidRPr="00F90D20" w:rsidRDefault="00CC2E98" w:rsidP="002F27A9">
            <w:pPr>
              <w:pStyle w:val="Tablerow"/>
            </w:pPr>
            <w:r w:rsidRPr="00F90D20">
              <w:t>11,514</w:t>
            </w:r>
          </w:p>
        </w:tc>
        <w:tc>
          <w:tcPr>
            <w:tcW w:w="2268" w:type="dxa"/>
            <w:noWrap/>
          </w:tcPr>
          <w:p w:rsidR="00CC2E98" w:rsidRPr="00F90D20" w:rsidRDefault="00CC2E98" w:rsidP="002F27A9">
            <w:pPr>
              <w:pStyle w:val="Tablerow"/>
            </w:pPr>
            <w:r w:rsidRPr="00F90D20">
              <w:t>12%</w:t>
            </w:r>
          </w:p>
        </w:tc>
        <w:tc>
          <w:tcPr>
            <w:tcW w:w="1843" w:type="dxa"/>
            <w:noWrap/>
          </w:tcPr>
          <w:p w:rsidR="00CC2E98" w:rsidRPr="00F90D20" w:rsidRDefault="00CC2E98" w:rsidP="002F27A9">
            <w:pPr>
              <w:pStyle w:val="Tablerow"/>
            </w:pPr>
            <w:r w:rsidRPr="00F90D20">
              <w:t>879</w:t>
            </w:r>
          </w:p>
        </w:tc>
        <w:tc>
          <w:tcPr>
            <w:tcW w:w="1700" w:type="dxa"/>
            <w:noWrap/>
          </w:tcPr>
          <w:p w:rsidR="00CC2E98" w:rsidRPr="00F90D20" w:rsidRDefault="00CC2E98" w:rsidP="002F27A9">
            <w:pPr>
              <w:pStyle w:val="Tablerow"/>
            </w:pPr>
            <w:r w:rsidRPr="00F90D20">
              <w:t>11,444</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Cricket (outdoor)</w:t>
            </w:r>
          </w:p>
        </w:tc>
        <w:tc>
          <w:tcPr>
            <w:tcW w:w="1952" w:type="dxa"/>
            <w:noWrap/>
          </w:tcPr>
          <w:p w:rsidR="00CC2E98" w:rsidRPr="00F90D20" w:rsidRDefault="00CC2E98" w:rsidP="002F27A9">
            <w:pPr>
              <w:pStyle w:val="Tablerow"/>
            </w:pPr>
            <w:r w:rsidRPr="00F90D20">
              <w:t>140</w:t>
            </w:r>
          </w:p>
        </w:tc>
        <w:tc>
          <w:tcPr>
            <w:tcW w:w="1953" w:type="dxa"/>
            <w:noWrap/>
          </w:tcPr>
          <w:p w:rsidR="00CC2E98" w:rsidRPr="00F90D20" w:rsidRDefault="00CC2E98" w:rsidP="002F27A9">
            <w:pPr>
              <w:pStyle w:val="Tablerow"/>
            </w:pPr>
            <w:r w:rsidRPr="00F90D20">
              <w:t>3%</w:t>
            </w:r>
          </w:p>
        </w:tc>
        <w:tc>
          <w:tcPr>
            <w:tcW w:w="2049" w:type="dxa"/>
            <w:noWrap/>
          </w:tcPr>
          <w:p w:rsidR="00CC2E98" w:rsidRPr="00F90D20" w:rsidRDefault="00CC2E98" w:rsidP="002F27A9">
            <w:pPr>
              <w:pStyle w:val="Tablerow"/>
            </w:pPr>
            <w:r w:rsidRPr="00F90D20">
              <w:t>7,285</w:t>
            </w:r>
          </w:p>
        </w:tc>
        <w:tc>
          <w:tcPr>
            <w:tcW w:w="2268" w:type="dxa"/>
            <w:noWrap/>
          </w:tcPr>
          <w:p w:rsidR="00CC2E98" w:rsidRPr="00F90D20" w:rsidRDefault="00CC2E98" w:rsidP="002F27A9">
            <w:pPr>
              <w:pStyle w:val="Tablerow"/>
            </w:pPr>
            <w:r w:rsidRPr="00F90D20">
              <w:t>14%</w:t>
            </w:r>
          </w:p>
        </w:tc>
        <w:tc>
          <w:tcPr>
            <w:tcW w:w="1843" w:type="dxa"/>
            <w:noWrap/>
          </w:tcPr>
          <w:p w:rsidR="00CC2E98" w:rsidRPr="00F90D20" w:rsidRDefault="00CC2E98" w:rsidP="002F27A9">
            <w:pPr>
              <w:pStyle w:val="Tablerow"/>
            </w:pPr>
            <w:r w:rsidRPr="00F90D20">
              <w:t>1,196</w:t>
            </w:r>
          </w:p>
        </w:tc>
        <w:tc>
          <w:tcPr>
            <w:tcW w:w="1700" w:type="dxa"/>
            <w:noWrap/>
          </w:tcPr>
          <w:p w:rsidR="00CC2E98" w:rsidRPr="00F90D20" w:rsidRDefault="00CC2E98" w:rsidP="002F27A9">
            <w:pPr>
              <w:pStyle w:val="Tablerow"/>
            </w:pPr>
            <w:r w:rsidRPr="00F90D20">
              <w:t>11,226</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Weight training for fitness</w:t>
            </w:r>
          </w:p>
        </w:tc>
        <w:tc>
          <w:tcPr>
            <w:tcW w:w="1952" w:type="dxa"/>
            <w:noWrap/>
          </w:tcPr>
          <w:p w:rsidR="00CC2E98" w:rsidRPr="00F90D20" w:rsidRDefault="00CC2E98" w:rsidP="002F27A9">
            <w:pPr>
              <w:pStyle w:val="Tablerow"/>
            </w:pPr>
            <w:r w:rsidRPr="00F90D20">
              <w:t>120</w:t>
            </w:r>
          </w:p>
        </w:tc>
        <w:tc>
          <w:tcPr>
            <w:tcW w:w="1953" w:type="dxa"/>
            <w:noWrap/>
          </w:tcPr>
          <w:p w:rsidR="00CC2E98" w:rsidRPr="00F90D20" w:rsidRDefault="00CC2E98" w:rsidP="002F27A9">
            <w:pPr>
              <w:pStyle w:val="Tablerow"/>
            </w:pPr>
            <w:r w:rsidRPr="00F90D20">
              <w:t>2%</w:t>
            </w:r>
          </w:p>
        </w:tc>
        <w:tc>
          <w:tcPr>
            <w:tcW w:w="2049" w:type="dxa"/>
            <w:noWrap/>
          </w:tcPr>
          <w:p w:rsidR="00CC2E98" w:rsidRPr="00F90D20" w:rsidRDefault="00CC2E98" w:rsidP="002F27A9">
            <w:pPr>
              <w:pStyle w:val="Tablerow"/>
            </w:pPr>
            <w:r w:rsidRPr="00F90D20">
              <w:t>14,159</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9,593</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Lawn bowls</w:t>
            </w:r>
          </w:p>
        </w:tc>
        <w:tc>
          <w:tcPr>
            <w:tcW w:w="1952" w:type="dxa"/>
            <w:noWrap/>
          </w:tcPr>
          <w:p w:rsidR="00CC2E98" w:rsidRPr="00F90D20" w:rsidRDefault="00CC2E98" w:rsidP="002F27A9">
            <w:pPr>
              <w:pStyle w:val="Tablerow"/>
            </w:pPr>
            <w:r w:rsidRPr="00F90D20">
              <w:t>116</w:t>
            </w:r>
          </w:p>
        </w:tc>
        <w:tc>
          <w:tcPr>
            <w:tcW w:w="1953" w:type="dxa"/>
            <w:noWrap/>
          </w:tcPr>
          <w:p w:rsidR="00CC2E98" w:rsidRPr="00F90D20" w:rsidRDefault="00CC2E98" w:rsidP="002F27A9">
            <w:pPr>
              <w:pStyle w:val="Tablerow"/>
            </w:pPr>
            <w:r w:rsidRPr="00F90D20">
              <w:t>2%</w:t>
            </w:r>
          </w:p>
        </w:tc>
        <w:tc>
          <w:tcPr>
            <w:tcW w:w="2049" w:type="dxa"/>
            <w:noWrap/>
          </w:tcPr>
          <w:p w:rsidR="00CC2E98" w:rsidRPr="00F90D20" w:rsidRDefault="00CC2E98" w:rsidP="002F27A9">
            <w:pPr>
              <w:pStyle w:val="Tablerow"/>
            </w:pPr>
            <w:r w:rsidRPr="00F90D20">
              <w:t>10,404</w:t>
            </w:r>
          </w:p>
        </w:tc>
        <w:tc>
          <w:tcPr>
            <w:tcW w:w="2268" w:type="dxa"/>
            <w:noWrap/>
          </w:tcPr>
          <w:p w:rsidR="00CC2E98" w:rsidRPr="00F90D20" w:rsidRDefault="00CC2E98" w:rsidP="002F27A9">
            <w:pPr>
              <w:pStyle w:val="Tablerow"/>
            </w:pPr>
            <w:r w:rsidRPr="00F90D20">
              <w:t>2%</w:t>
            </w:r>
          </w:p>
        </w:tc>
        <w:tc>
          <w:tcPr>
            <w:tcW w:w="1843" w:type="dxa"/>
            <w:noWrap/>
          </w:tcPr>
          <w:p w:rsidR="00CC2E98" w:rsidRPr="00F90D20" w:rsidRDefault="00CC2E98" w:rsidP="002F27A9">
            <w:pPr>
              <w:pStyle w:val="Tablerow"/>
            </w:pPr>
            <w:r w:rsidRPr="00F90D20">
              <w:t>481</w:t>
            </w:r>
          </w:p>
        </w:tc>
        <w:tc>
          <w:tcPr>
            <w:tcW w:w="1700" w:type="dxa"/>
            <w:noWrap/>
          </w:tcPr>
          <w:p w:rsidR="00CC2E98" w:rsidRPr="00F90D20" w:rsidRDefault="00CC2E98" w:rsidP="002F27A9">
            <w:pPr>
              <w:pStyle w:val="Tablerow"/>
            </w:pPr>
            <w:r w:rsidRPr="00F90D20">
              <w:t>28,355</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Football—soccer (outdoor)</w:t>
            </w:r>
          </w:p>
        </w:tc>
        <w:tc>
          <w:tcPr>
            <w:tcW w:w="1952" w:type="dxa"/>
            <w:noWrap/>
          </w:tcPr>
          <w:p w:rsidR="00CC2E98" w:rsidRPr="00F90D20" w:rsidRDefault="00CC2E98" w:rsidP="002F27A9">
            <w:pPr>
              <w:pStyle w:val="Tablerow"/>
            </w:pPr>
            <w:r w:rsidRPr="00F90D20">
              <w:t>113</w:t>
            </w:r>
          </w:p>
        </w:tc>
        <w:tc>
          <w:tcPr>
            <w:tcW w:w="1953" w:type="dxa"/>
            <w:noWrap/>
          </w:tcPr>
          <w:p w:rsidR="00CC2E98" w:rsidRPr="00F90D20" w:rsidRDefault="00CC2E98" w:rsidP="002F27A9">
            <w:pPr>
              <w:pStyle w:val="Tablerow"/>
            </w:pPr>
            <w:r w:rsidRPr="00F90D20">
              <w:t>2%</w:t>
            </w:r>
          </w:p>
        </w:tc>
        <w:tc>
          <w:tcPr>
            <w:tcW w:w="2049" w:type="dxa"/>
            <w:noWrap/>
          </w:tcPr>
          <w:p w:rsidR="00CC2E98" w:rsidRPr="00F90D20" w:rsidRDefault="00CC2E98" w:rsidP="002F27A9">
            <w:pPr>
              <w:pStyle w:val="Tablerow"/>
            </w:pPr>
            <w:r w:rsidRPr="00F90D20">
              <w:t>6,926</w:t>
            </w:r>
          </w:p>
        </w:tc>
        <w:tc>
          <w:tcPr>
            <w:tcW w:w="2268" w:type="dxa"/>
            <w:noWrap/>
          </w:tcPr>
          <w:p w:rsidR="00CC2E98" w:rsidRPr="00F90D20" w:rsidRDefault="00CC2E98" w:rsidP="002F27A9">
            <w:pPr>
              <w:pStyle w:val="Tablerow"/>
            </w:pPr>
            <w:r w:rsidRPr="00F90D20">
              <w:t>27%</w:t>
            </w:r>
          </w:p>
        </w:tc>
        <w:tc>
          <w:tcPr>
            <w:tcW w:w="1843" w:type="dxa"/>
            <w:noWrap/>
          </w:tcPr>
          <w:p w:rsidR="00CC2E98" w:rsidRPr="00F90D20" w:rsidRDefault="00CC2E98" w:rsidP="002F27A9">
            <w:pPr>
              <w:pStyle w:val="Tablerow"/>
            </w:pPr>
            <w:r w:rsidRPr="00F90D20">
              <w:t>2,652</w:t>
            </w:r>
          </w:p>
        </w:tc>
        <w:tc>
          <w:tcPr>
            <w:tcW w:w="1700" w:type="dxa"/>
            <w:noWrap/>
          </w:tcPr>
          <w:p w:rsidR="00CC2E98" w:rsidRPr="00F90D20" w:rsidRDefault="00CC2E98" w:rsidP="002F27A9">
            <w:pPr>
              <w:pStyle w:val="Tablerow"/>
            </w:pPr>
            <w:r w:rsidRPr="00F90D20">
              <w:t>6,216</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Dancing—other</w:t>
            </w:r>
          </w:p>
        </w:tc>
        <w:tc>
          <w:tcPr>
            <w:tcW w:w="1952" w:type="dxa"/>
            <w:noWrap/>
          </w:tcPr>
          <w:p w:rsidR="00CC2E98" w:rsidRPr="00F90D20" w:rsidRDefault="00CC2E98" w:rsidP="002F27A9">
            <w:pPr>
              <w:pStyle w:val="Tablerow"/>
            </w:pPr>
            <w:r w:rsidRPr="00F90D20">
              <w:t>103</w:t>
            </w:r>
          </w:p>
        </w:tc>
        <w:tc>
          <w:tcPr>
            <w:tcW w:w="1953" w:type="dxa"/>
            <w:noWrap/>
          </w:tcPr>
          <w:p w:rsidR="00CC2E98" w:rsidRPr="00F90D20" w:rsidRDefault="00CC2E98" w:rsidP="002F27A9">
            <w:pPr>
              <w:pStyle w:val="Tablerow"/>
            </w:pPr>
            <w:r w:rsidRPr="00F90D20">
              <w:t>2%</w:t>
            </w:r>
          </w:p>
        </w:tc>
        <w:tc>
          <w:tcPr>
            <w:tcW w:w="2049" w:type="dxa"/>
            <w:noWrap/>
          </w:tcPr>
          <w:p w:rsidR="00CC2E98" w:rsidRPr="00F90D20" w:rsidRDefault="00CC2E98" w:rsidP="002F27A9">
            <w:pPr>
              <w:pStyle w:val="Tablerow"/>
            </w:pPr>
            <w:r w:rsidRPr="00F90D20">
              <w:t>7,388</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13,762</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Exercise bike</w:t>
            </w:r>
          </w:p>
        </w:tc>
        <w:tc>
          <w:tcPr>
            <w:tcW w:w="1952" w:type="dxa"/>
            <w:noWrap/>
          </w:tcPr>
          <w:p w:rsidR="00CC2E98" w:rsidRPr="00F90D20" w:rsidRDefault="00CC2E98" w:rsidP="002F27A9">
            <w:pPr>
              <w:pStyle w:val="Tablerow"/>
            </w:pPr>
            <w:r w:rsidRPr="00F90D20">
              <w:t>71</w:t>
            </w:r>
          </w:p>
        </w:tc>
        <w:tc>
          <w:tcPr>
            <w:tcW w:w="1953" w:type="dxa"/>
            <w:noWrap/>
          </w:tcPr>
          <w:p w:rsidR="00CC2E98" w:rsidRPr="00F90D20" w:rsidRDefault="00CC2E98" w:rsidP="002F27A9">
            <w:pPr>
              <w:pStyle w:val="Tablerow"/>
            </w:pPr>
            <w:r w:rsidRPr="00F90D20">
              <w:t>1%</w:t>
            </w:r>
          </w:p>
        </w:tc>
        <w:tc>
          <w:tcPr>
            <w:tcW w:w="2049" w:type="dxa"/>
            <w:noWrap/>
          </w:tcPr>
          <w:p w:rsidR="00CC2E98" w:rsidRPr="00F90D20" w:rsidRDefault="00CC2E98" w:rsidP="002F27A9">
            <w:pPr>
              <w:pStyle w:val="Tablerow"/>
            </w:pPr>
            <w:r w:rsidRPr="00F90D20">
              <w:t>9,964</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3,907</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Treadmill</w:t>
            </w:r>
          </w:p>
        </w:tc>
        <w:tc>
          <w:tcPr>
            <w:tcW w:w="1952" w:type="dxa"/>
            <w:noWrap/>
          </w:tcPr>
          <w:p w:rsidR="00CC2E98" w:rsidRPr="00F90D20" w:rsidRDefault="00CC2E98" w:rsidP="002F27A9">
            <w:pPr>
              <w:pStyle w:val="Tablerow"/>
            </w:pPr>
            <w:r w:rsidRPr="00F90D20">
              <w:t>65</w:t>
            </w:r>
          </w:p>
        </w:tc>
        <w:tc>
          <w:tcPr>
            <w:tcW w:w="1953" w:type="dxa"/>
            <w:noWrap/>
          </w:tcPr>
          <w:p w:rsidR="00CC2E98" w:rsidRPr="00F90D20" w:rsidRDefault="00CC2E98" w:rsidP="002F27A9">
            <w:pPr>
              <w:pStyle w:val="Tablerow"/>
            </w:pPr>
            <w:r w:rsidRPr="00F90D20">
              <w:t>1%</w:t>
            </w:r>
          </w:p>
        </w:tc>
        <w:tc>
          <w:tcPr>
            <w:tcW w:w="2049" w:type="dxa"/>
            <w:noWrap/>
          </w:tcPr>
          <w:p w:rsidR="00CC2E98" w:rsidRPr="00F90D20" w:rsidRDefault="00CC2E98" w:rsidP="002F27A9">
            <w:pPr>
              <w:pStyle w:val="Tablerow"/>
            </w:pPr>
            <w:r w:rsidRPr="00F90D20">
              <w:t>9,435</w:t>
            </w:r>
          </w:p>
        </w:tc>
        <w:tc>
          <w:tcPr>
            <w:tcW w:w="2268" w:type="dxa"/>
            <w:noWrap/>
          </w:tcPr>
          <w:p w:rsidR="00CC2E98" w:rsidRPr="00F90D20" w:rsidRDefault="00CC2E98" w:rsidP="002F27A9">
            <w:pPr>
              <w:pStyle w:val="Tablerow"/>
            </w:pPr>
            <w:r w:rsidRPr="00F90D20">
              <w:t>100%</w:t>
            </w:r>
          </w:p>
        </w:tc>
        <w:tc>
          <w:tcPr>
            <w:tcW w:w="1843" w:type="dxa"/>
            <w:noWrap/>
          </w:tcPr>
          <w:p w:rsidR="00CC2E98" w:rsidRPr="00F90D20" w:rsidRDefault="00CC2E98" w:rsidP="002F27A9">
            <w:pPr>
              <w:pStyle w:val="Tablerow"/>
            </w:pPr>
            <w:r w:rsidRPr="00F90D20">
              <w:t>4,623</w:t>
            </w:r>
          </w:p>
        </w:tc>
        <w:tc>
          <w:tcPr>
            <w:tcW w:w="1700" w:type="dxa"/>
            <w:noWrap/>
          </w:tcPr>
          <w:p w:rsidR="00CC2E98" w:rsidRPr="00F90D20" w:rsidRDefault="00CC2E98" w:rsidP="002F27A9">
            <w:pPr>
              <w:pStyle w:val="Tablerow"/>
            </w:pPr>
            <w:r w:rsidRPr="00F90D20">
              <w:t>0</w:t>
            </w:r>
          </w:p>
        </w:tc>
      </w:tr>
      <w:tr w:rsidR="00CC2E98" w:rsidRPr="00F90D20" w:rsidTr="009F0FF4">
        <w:trPr>
          <w:trHeight w:val="240"/>
        </w:trPr>
        <w:tc>
          <w:tcPr>
            <w:tcW w:w="3544" w:type="dxa"/>
            <w:noWrap/>
            <w:vAlign w:val="center"/>
          </w:tcPr>
          <w:p w:rsidR="00CC2E98" w:rsidRPr="00F90D20" w:rsidRDefault="00CC2E98" w:rsidP="002F27A9">
            <w:pPr>
              <w:pStyle w:val="Tablerow"/>
            </w:pPr>
            <w:r w:rsidRPr="00F90D20">
              <w:t xml:space="preserve">All other </w:t>
            </w:r>
          </w:p>
        </w:tc>
        <w:tc>
          <w:tcPr>
            <w:tcW w:w="1952" w:type="dxa"/>
            <w:noWrap/>
          </w:tcPr>
          <w:p w:rsidR="00CC2E98" w:rsidRPr="00F90D20" w:rsidRDefault="00CC2E98" w:rsidP="002F27A9">
            <w:pPr>
              <w:pStyle w:val="Tablerow"/>
            </w:pPr>
            <w:r w:rsidRPr="00F90D20">
              <w:t>677</w:t>
            </w:r>
          </w:p>
        </w:tc>
        <w:tc>
          <w:tcPr>
            <w:tcW w:w="1953" w:type="dxa"/>
            <w:noWrap/>
          </w:tcPr>
          <w:p w:rsidR="00CC2E98" w:rsidRPr="00F90D20" w:rsidRDefault="00CC2E98" w:rsidP="002F27A9">
            <w:pPr>
              <w:pStyle w:val="Tablerow"/>
            </w:pPr>
            <w:r w:rsidRPr="00F90D20">
              <w:t>14%</w:t>
            </w:r>
          </w:p>
        </w:tc>
        <w:tc>
          <w:tcPr>
            <w:tcW w:w="2049" w:type="dxa"/>
            <w:noWrap/>
          </w:tcPr>
          <w:p w:rsidR="00CC2E98" w:rsidRPr="00F90D20" w:rsidRDefault="00CC2E98" w:rsidP="002F27A9">
            <w:pPr>
              <w:pStyle w:val="Tablerow"/>
            </w:pPr>
            <w:r w:rsidRPr="00F90D20">
              <w:t>83,180</w:t>
            </w:r>
          </w:p>
        </w:tc>
        <w:tc>
          <w:tcPr>
            <w:tcW w:w="2268" w:type="dxa"/>
            <w:noWrap/>
          </w:tcPr>
          <w:p w:rsidR="00CC2E98" w:rsidRPr="00F90D20" w:rsidRDefault="00CC2E98" w:rsidP="002F27A9">
            <w:pPr>
              <w:pStyle w:val="Tablerow"/>
            </w:pPr>
            <w:r w:rsidRPr="00F90D20">
              <w:t>47%</w:t>
            </w:r>
          </w:p>
        </w:tc>
        <w:tc>
          <w:tcPr>
            <w:tcW w:w="1843" w:type="dxa"/>
            <w:noWrap/>
          </w:tcPr>
          <w:p w:rsidR="00CC2E98" w:rsidRPr="00F90D20" w:rsidRDefault="00CC2E98" w:rsidP="002F27A9">
            <w:pPr>
              <w:pStyle w:val="Tablerow"/>
            </w:pPr>
            <w:r w:rsidRPr="00F90D20">
              <w:t>55,308</w:t>
            </w:r>
          </w:p>
        </w:tc>
        <w:tc>
          <w:tcPr>
            <w:tcW w:w="1700" w:type="dxa"/>
            <w:noWrap/>
          </w:tcPr>
          <w:p w:rsidR="00CC2E98" w:rsidRPr="00F90D20" w:rsidRDefault="00CC2E98" w:rsidP="002F27A9">
            <w:pPr>
              <w:pStyle w:val="Tablerow"/>
            </w:pPr>
            <w:r w:rsidRPr="00F90D20">
              <w:t>59,718</w:t>
            </w:r>
          </w:p>
        </w:tc>
      </w:tr>
    </w:tbl>
    <w:p w:rsidR="004E7708" w:rsidRDefault="004E7708" w:rsidP="002F27A9">
      <w:pPr>
        <w:sectPr w:rsidR="004E7708" w:rsidSect="004A4D2E">
          <w:headerReference w:type="default" r:id="rId11"/>
          <w:footerReference w:type="default" r:id="rId12"/>
          <w:type w:val="continuous"/>
          <w:pgSz w:w="16839" w:h="11907" w:orient="landscape" w:code="9"/>
          <w:pgMar w:top="1134" w:right="1134" w:bottom="709" w:left="1134" w:header="885" w:footer="32" w:gutter="0"/>
          <w:cols w:space="609"/>
          <w:docGrid w:linePitch="245"/>
        </w:sectPr>
      </w:pPr>
    </w:p>
    <w:p w:rsidR="00797E6E" w:rsidRDefault="00797E6E" w:rsidP="002F27A9">
      <w:pPr>
        <w:rPr>
          <w:rFonts w:eastAsia="Lato Light"/>
          <w:color w:val="262626" w:themeColor="text1" w:themeTint="D9"/>
          <w:sz w:val="36"/>
          <w:szCs w:val="36"/>
        </w:rPr>
      </w:pPr>
      <w:r>
        <w:lastRenderedPageBreak/>
        <w:br w:type="page"/>
      </w:r>
    </w:p>
    <w:p w:rsidR="00780AB6" w:rsidRPr="00500F57" w:rsidRDefault="002328FD" w:rsidP="002F27A9">
      <w:pPr>
        <w:pStyle w:val="Heading2"/>
      </w:pPr>
      <w:r w:rsidRPr="00500F57">
        <w:lastRenderedPageBreak/>
        <w:t xml:space="preserve">Regional </w:t>
      </w:r>
      <w:r w:rsidR="009132EE" w:rsidRPr="00500F57">
        <w:t xml:space="preserve">Victoria </w:t>
      </w:r>
      <w:r w:rsidRPr="00500F57">
        <w:t>analysis</w:t>
      </w:r>
    </w:p>
    <w:p w:rsidR="00711B89" w:rsidRPr="009F0FF4" w:rsidRDefault="00780AB6" w:rsidP="009F0FF4">
      <w:pPr>
        <w:rPr>
          <w:rStyle w:val="Emphasis"/>
        </w:rPr>
      </w:pPr>
      <w:r w:rsidRPr="009F0FF4">
        <w:rPr>
          <w:rStyle w:val="Emphasis"/>
        </w:rPr>
        <w:t>We use</w:t>
      </w:r>
      <w:r w:rsidR="00F75F23" w:rsidRPr="009F0FF4">
        <w:rPr>
          <w:rStyle w:val="Emphasis"/>
        </w:rPr>
        <w:t>d</w:t>
      </w:r>
      <w:r w:rsidRPr="009F0FF4">
        <w:rPr>
          <w:rStyle w:val="Emphasis"/>
        </w:rPr>
        <w:t xml:space="preserve"> V</w:t>
      </w:r>
      <w:r w:rsidR="00BB64E9" w:rsidRPr="009F0FF4">
        <w:rPr>
          <w:rStyle w:val="Emphasis"/>
        </w:rPr>
        <w:t xml:space="preserve">ictoria’s </w:t>
      </w:r>
      <w:r w:rsidR="009132EE" w:rsidRPr="009F0FF4">
        <w:rPr>
          <w:rStyle w:val="Emphasis"/>
        </w:rPr>
        <w:t xml:space="preserve">Department of </w:t>
      </w:r>
      <w:r w:rsidR="0053102B" w:rsidRPr="009F0FF4">
        <w:rPr>
          <w:rStyle w:val="Emphasis"/>
        </w:rPr>
        <w:t xml:space="preserve">Health and </w:t>
      </w:r>
      <w:r w:rsidR="009132EE" w:rsidRPr="009F0FF4">
        <w:rPr>
          <w:rStyle w:val="Emphasis"/>
        </w:rPr>
        <w:t>Human Services</w:t>
      </w:r>
      <w:r w:rsidR="002328FD" w:rsidRPr="009F0FF4">
        <w:rPr>
          <w:rStyle w:val="Emphasis"/>
        </w:rPr>
        <w:t xml:space="preserve"> </w:t>
      </w:r>
      <w:r w:rsidR="009132EE" w:rsidRPr="009F0FF4">
        <w:rPr>
          <w:rStyle w:val="Emphasis"/>
        </w:rPr>
        <w:t>A</w:t>
      </w:r>
      <w:r w:rsidR="002328FD" w:rsidRPr="009F0FF4">
        <w:rPr>
          <w:rStyle w:val="Emphasis"/>
        </w:rPr>
        <w:t xml:space="preserve">reas </w:t>
      </w:r>
      <w:r w:rsidRPr="009F0FF4">
        <w:rPr>
          <w:rStyle w:val="Emphasis"/>
        </w:rPr>
        <w:t>as the basis for our</w:t>
      </w:r>
      <w:r w:rsidR="009132EE" w:rsidRPr="009F0FF4">
        <w:rPr>
          <w:rStyle w:val="Emphasis"/>
        </w:rPr>
        <w:t xml:space="preserve"> regional</w:t>
      </w:r>
      <w:r w:rsidRPr="009F0FF4">
        <w:rPr>
          <w:rStyle w:val="Emphasis"/>
        </w:rPr>
        <w:t xml:space="preserve"> evaluation</w:t>
      </w:r>
      <w:r w:rsidR="00E125F7" w:rsidRPr="009F0FF4">
        <w:rPr>
          <w:rStyle w:val="Emphasis"/>
        </w:rPr>
        <w:t>.</w:t>
      </w:r>
    </w:p>
    <w:p w:rsidR="00D55005" w:rsidRPr="00500F57" w:rsidRDefault="00711B89" w:rsidP="002F27A9">
      <w:r w:rsidRPr="00500F57">
        <w:t>Table 2</w:t>
      </w:r>
      <w:r w:rsidR="00013373" w:rsidRPr="00500F57">
        <w:t xml:space="preserve"> </w:t>
      </w:r>
      <w:r w:rsidR="004339EB" w:rsidRPr="00500F57">
        <w:t xml:space="preserve">lists </w:t>
      </w:r>
      <w:r w:rsidR="00434F79">
        <w:t>DHHS</w:t>
      </w:r>
      <w:r w:rsidR="007F5A54">
        <w:t xml:space="preserve"> a</w:t>
      </w:r>
      <w:r w:rsidR="002328FD" w:rsidRPr="00500F57">
        <w:t>reas</w:t>
      </w:r>
      <w:r w:rsidR="004339EB" w:rsidRPr="00500F57">
        <w:t>,</w:t>
      </w:r>
      <w:r w:rsidR="00013373" w:rsidRPr="00500F57">
        <w:t xml:space="preserve"> which </w:t>
      </w:r>
      <w:r w:rsidR="007F5A54">
        <w:t>are</w:t>
      </w:r>
      <w:r w:rsidR="007F5A54" w:rsidRPr="00500F57">
        <w:t xml:space="preserve"> </w:t>
      </w:r>
      <w:r w:rsidR="00C06D86" w:rsidRPr="00500F57">
        <w:t xml:space="preserve">based on </w:t>
      </w:r>
      <w:r w:rsidR="002328FD" w:rsidRPr="00500F57">
        <w:t xml:space="preserve">the </w:t>
      </w:r>
      <w:r w:rsidR="007F5A54">
        <w:t>d</w:t>
      </w:r>
      <w:r w:rsidR="002328FD" w:rsidRPr="00500F57">
        <w:t xml:space="preserve">epartment’s aggregation </w:t>
      </w:r>
      <w:r w:rsidR="007F5A54">
        <w:t>of</w:t>
      </w:r>
      <w:r w:rsidR="007F5A54" w:rsidRPr="00500F57">
        <w:t xml:space="preserve"> </w:t>
      </w:r>
      <w:r w:rsidR="002328FD" w:rsidRPr="00500F57">
        <w:t>lo</w:t>
      </w:r>
      <w:r w:rsidR="00013373" w:rsidRPr="00500F57">
        <w:t>c</w:t>
      </w:r>
      <w:r w:rsidR="002328FD" w:rsidRPr="00500F57">
        <w:t>al</w:t>
      </w:r>
      <w:r w:rsidR="00F75F23">
        <w:t xml:space="preserve"> government</w:t>
      </w:r>
      <w:r w:rsidR="002328FD" w:rsidRPr="00500F57">
        <w:t xml:space="preserve"> areas</w:t>
      </w:r>
      <w:r w:rsidR="00C06D86" w:rsidRPr="00500F57">
        <w:t>.</w:t>
      </w:r>
    </w:p>
    <w:p w:rsidR="0015554B" w:rsidRDefault="00780AB6" w:rsidP="004E7708">
      <w:r w:rsidRPr="00500F57">
        <w:t xml:space="preserve">We used </w:t>
      </w:r>
      <w:r w:rsidR="00BB64E9" w:rsidRPr="00500F57">
        <w:t xml:space="preserve">Victorian </w:t>
      </w:r>
      <w:r w:rsidR="002328FD" w:rsidRPr="00500F57">
        <w:t>DH</w:t>
      </w:r>
      <w:r w:rsidR="0053102B" w:rsidRPr="00500F57">
        <w:t>H</w:t>
      </w:r>
      <w:r w:rsidR="002328FD" w:rsidRPr="00500F57">
        <w:t xml:space="preserve">S </w:t>
      </w:r>
      <w:r w:rsidR="005F5CD2" w:rsidRPr="00500F57">
        <w:t>areas</w:t>
      </w:r>
      <w:r w:rsidR="00A75456" w:rsidRPr="00500F57">
        <w:t xml:space="preserve"> as the basis for regional analysis in this report</w:t>
      </w:r>
      <w:r w:rsidRPr="00500F57">
        <w:t xml:space="preserve"> because they provide a </w:t>
      </w:r>
      <w:r w:rsidR="00BB64E9" w:rsidRPr="00500F57">
        <w:t xml:space="preserve">reasonable </w:t>
      </w:r>
      <w:r w:rsidRPr="00500F57">
        <w:t xml:space="preserve">level of </w:t>
      </w:r>
      <w:r w:rsidR="00BB64E9" w:rsidRPr="00500F57">
        <w:t xml:space="preserve">geographic coverage that matches data </w:t>
      </w:r>
      <w:r w:rsidR="000E51E7" w:rsidRPr="00500F57">
        <w:t>availability</w:t>
      </w:r>
      <w:r w:rsidR="00A75456" w:rsidRPr="00500F57">
        <w:t xml:space="preserve"> for Victoria</w:t>
      </w:r>
      <w:r w:rsidR="00BB64E9" w:rsidRPr="00500F57">
        <w:t>.</w:t>
      </w:r>
      <w:r w:rsidR="00D55005" w:rsidRPr="00500F57">
        <w:t xml:space="preserve"> </w:t>
      </w:r>
      <w:r w:rsidR="00BB64E9" w:rsidRPr="00500F57">
        <w:t xml:space="preserve">Data availability and quality deteriorate </w:t>
      </w:r>
      <w:r w:rsidR="007F5A54">
        <w:t>in</w:t>
      </w:r>
      <w:r w:rsidR="007F5A54" w:rsidRPr="00500F57">
        <w:t xml:space="preserve"> </w:t>
      </w:r>
      <w:r w:rsidR="00BB64E9" w:rsidRPr="00500F57">
        <w:t xml:space="preserve">datasets that </w:t>
      </w:r>
      <w:r w:rsidR="00C06D86" w:rsidRPr="00500F57">
        <w:t>aggregate activity</w:t>
      </w:r>
      <w:r w:rsidR="00BB64E9" w:rsidRPr="00500F57">
        <w:t xml:space="preserve"> at</w:t>
      </w:r>
      <w:r w:rsidR="00C06D86" w:rsidRPr="00500F57">
        <w:t xml:space="preserve"> smaller geographic scales</w:t>
      </w:r>
      <w:r w:rsidR="005F5CD2" w:rsidRPr="00500F57">
        <w:t xml:space="preserve"> (</w:t>
      </w:r>
      <w:r w:rsidR="00013373" w:rsidRPr="00500F57">
        <w:t>such as at the</w:t>
      </w:r>
      <w:r w:rsidR="005F5CD2" w:rsidRPr="00500F57">
        <w:t xml:space="preserve"> </w:t>
      </w:r>
      <w:r w:rsidR="007F5A54">
        <w:t>local government area scale</w:t>
      </w:r>
      <w:r w:rsidR="005F5CD2" w:rsidRPr="00500F57">
        <w:t>)</w:t>
      </w:r>
      <w:r w:rsidRPr="00500F57">
        <w:t>.</w:t>
      </w:r>
      <w:bookmarkStart w:id="53" w:name="_Ref431808011"/>
    </w:p>
    <w:p w:rsidR="00A914DA" w:rsidRPr="00500F57" w:rsidRDefault="004339EB" w:rsidP="00E20E7D">
      <w:pPr>
        <w:pStyle w:val="Caption"/>
      </w:pPr>
      <w:r w:rsidRPr="00500F57">
        <w:t>Table</w:t>
      </w:r>
      <w:bookmarkEnd w:id="53"/>
      <w:r w:rsidR="005A7653">
        <w:t xml:space="preserve"> 2</w:t>
      </w:r>
      <w:r w:rsidRPr="00500F57">
        <w:t>:</w:t>
      </w:r>
      <w:r w:rsidR="00D55005" w:rsidRPr="00500F57">
        <w:t xml:space="preserve"> </w:t>
      </w:r>
      <w:r w:rsidR="00013373" w:rsidRPr="00500F57">
        <w:t xml:space="preserve">Department of </w:t>
      </w:r>
      <w:r w:rsidR="0053102B" w:rsidRPr="00500F57">
        <w:t xml:space="preserve">Health and </w:t>
      </w:r>
      <w:r w:rsidR="00013373" w:rsidRPr="00500F57">
        <w:t xml:space="preserve">Human Services </w:t>
      </w:r>
      <w:r w:rsidR="007F5A54">
        <w:t>a</w:t>
      </w:r>
      <w:r w:rsidR="00013373" w:rsidRPr="00500F57">
        <w:t>reas</w:t>
      </w:r>
      <w:r w:rsidRPr="00500F57">
        <w:t xml:space="preserve"> </w:t>
      </w:r>
      <w:r w:rsidR="00CC2E98">
        <w:t>(2016)</w:t>
      </w:r>
    </w:p>
    <w:tbl>
      <w:tblPr>
        <w:tblW w:w="4727" w:type="pct"/>
        <w:tblInd w:w="108" w:type="dxa"/>
        <w:tblBorders>
          <w:top w:val="single" w:sz="4" w:space="0" w:color="A6A6A6"/>
          <w:bottom w:val="single" w:sz="4" w:space="0" w:color="A6A6A6"/>
          <w:insideH w:val="single" w:sz="4" w:space="0" w:color="A6A6A6"/>
        </w:tblBorders>
        <w:tblLayout w:type="fixed"/>
        <w:tblLook w:val="04A0" w:firstRow="1" w:lastRow="0" w:firstColumn="1" w:lastColumn="0" w:noHBand="0" w:noVBand="1"/>
      </w:tblPr>
      <w:tblGrid>
        <w:gridCol w:w="6408"/>
        <w:gridCol w:w="3786"/>
        <w:gridCol w:w="3786"/>
      </w:tblGrid>
      <w:tr w:rsidR="004E7708" w:rsidRPr="00F90D20" w:rsidTr="004E7708">
        <w:trPr>
          <w:tblHeader/>
        </w:trPr>
        <w:tc>
          <w:tcPr>
            <w:tcW w:w="2292" w:type="pct"/>
            <w:shd w:val="clear" w:color="auto" w:fill="auto"/>
          </w:tcPr>
          <w:p w:rsidR="003A7F7F" w:rsidRPr="009F0FF4" w:rsidRDefault="005F5CD2" w:rsidP="002F27A9">
            <w:pPr>
              <w:pStyle w:val="Tablerow"/>
              <w:rPr>
                <w:b/>
              </w:rPr>
            </w:pPr>
            <w:r w:rsidRPr="009F0FF4">
              <w:rPr>
                <w:b/>
              </w:rPr>
              <w:t>DHHS area</w:t>
            </w:r>
          </w:p>
        </w:tc>
        <w:tc>
          <w:tcPr>
            <w:tcW w:w="1354" w:type="pct"/>
          </w:tcPr>
          <w:p w:rsidR="003A7F7F" w:rsidRPr="009F0FF4" w:rsidRDefault="003A7F7F" w:rsidP="002F27A9">
            <w:pPr>
              <w:pStyle w:val="Tablerow"/>
              <w:rPr>
                <w:b/>
              </w:rPr>
            </w:pPr>
            <w:r w:rsidRPr="009F0FF4">
              <w:rPr>
                <w:b/>
              </w:rPr>
              <w:t>Population</w:t>
            </w:r>
            <w:r w:rsidR="00A126CF" w:rsidRPr="009F0FF4">
              <w:rPr>
                <w:b/>
              </w:rPr>
              <w:t xml:space="preserve"> (</w:t>
            </w:r>
            <w:r w:rsidR="007F5A54" w:rsidRPr="009F0FF4">
              <w:rPr>
                <w:b/>
              </w:rPr>
              <w:t>’</w:t>
            </w:r>
            <w:r w:rsidR="00A126CF" w:rsidRPr="009F0FF4">
              <w:rPr>
                <w:b/>
              </w:rPr>
              <w:t>000)</w:t>
            </w:r>
          </w:p>
        </w:tc>
        <w:tc>
          <w:tcPr>
            <w:tcW w:w="1354" w:type="pct"/>
            <w:shd w:val="clear" w:color="auto" w:fill="auto"/>
          </w:tcPr>
          <w:p w:rsidR="003A7F7F" w:rsidRPr="009F0FF4" w:rsidRDefault="003A7F7F" w:rsidP="002F27A9">
            <w:pPr>
              <w:pStyle w:val="Tablerow"/>
              <w:rPr>
                <w:b/>
              </w:rPr>
            </w:pPr>
            <w:r w:rsidRPr="009F0FF4">
              <w:rPr>
                <w:b/>
              </w:rPr>
              <w:t xml:space="preserve">Area </w:t>
            </w:r>
            <w:r w:rsidR="00500F57" w:rsidRPr="009F0FF4">
              <w:rPr>
                <w:b/>
              </w:rPr>
              <w:t>(</w:t>
            </w:r>
            <w:r w:rsidRPr="009F0FF4">
              <w:rPr>
                <w:b/>
              </w:rPr>
              <w:t>km</w:t>
            </w:r>
            <w:r w:rsidR="00500F57" w:rsidRPr="009F0FF4">
              <w:rPr>
                <w:b/>
                <w:vertAlign w:val="superscript"/>
              </w:rPr>
              <w:t>2</w:t>
            </w:r>
            <w:r w:rsidR="00500F57" w:rsidRPr="009F0FF4">
              <w:rPr>
                <w:b/>
              </w:rPr>
              <w:t>)</w:t>
            </w:r>
          </w:p>
        </w:tc>
      </w:tr>
      <w:tr w:rsidR="004E7708" w:rsidRPr="00F90D20" w:rsidTr="004E7708">
        <w:trPr>
          <w:tblHeader/>
        </w:trPr>
        <w:tc>
          <w:tcPr>
            <w:tcW w:w="2292" w:type="pct"/>
            <w:shd w:val="clear" w:color="auto" w:fill="auto"/>
          </w:tcPr>
          <w:p w:rsidR="004B0EBA" w:rsidRPr="00AA7A06" w:rsidRDefault="004B0EBA" w:rsidP="002F27A9">
            <w:pPr>
              <w:pStyle w:val="Tablerow"/>
            </w:pPr>
            <w:r w:rsidRPr="00AA7A06">
              <w:t xml:space="preserve">Victoria total </w:t>
            </w:r>
          </w:p>
        </w:tc>
        <w:tc>
          <w:tcPr>
            <w:tcW w:w="1354" w:type="pct"/>
          </w:tcPr>
          <w:p w:rsidR="004B0EBA" w:rsidRPr="00AA7A06" w:rsidRDefault="00CC2E98" w:rsidP="002F27A9">
            <w:pPr>
              <w:pStyle w:val="Tablerow"/>
            </w:pPr>
            <w:r w:rsidRPr="00AA7A06">
              <w:t>6,178</w:t>
            </w:r>
          </w:p>
        </w:tc>
        <w:tc>
          <w:tcPr>
            <w:tcW w:w="1354" w:type="pct"/>
            <w:shd w:val="clear" w:color="auto" w:fill="auto"/>
          </w:tcPr>
          <w:p w:rsidR="004B0EBA" w:rsidRPr="00AA7A06" w:rsidRDefault="004B0EBA" w:rsidP="002F27A9">
            <w:pPr>
              <w:pStyle w:val="Tablerow"/>
            </w:pPr>
            <w:r w:rsidRPr="00AA7A06">
              <w:t>227,495</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Barwon</w:t>
            </w:r>
          </w:p>
        </w:tc>
        <w:tc>
          <w:tcPr>
            <w:tcW w:w="1354" w:type="pct"/>
          </w:tcPr>
          <w:p w:rsidR="00CC2E98" w:rsidRPr="00F90D20" w:rsidRDefault="00CC2E98" w:rsidP="002F27A9">
            <w:pPr>
              <w:pStyle w:val="Tablerow"/>
            </w:pPr>
            <w:r w:rsidRPr="00F90D20">
              <w:t>293.311</w:t>
            </w:r>
          </w:p>
        </w:tc>
        <w:tc>
          <w:tcPr>
            <w:tcW w:w="1354" w:type="pct"/>
            <w:shd w:val="clear" w:color="auto" w:fill="auto"/>
          </w:tcPr>
          <w:p w:rsidR="00CC2E98" w:rsidRPr="00F90D20" w:rsidRDefault="00CC2E98" w:rsidP="002F27A9">
            <w:pPr>
              <w:pStyle w:val="Tablerow"/>
            </w:pPr>
            <w:r w:rsidRPr="00F90D20">
              <w:t>6,247</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Bayside Peninsula</w:t>
            </w:r>
          </w:p>
        </w:tc>
        <w:tc>
          <w:tcPr>
            <w:tcW w:w="1354" w:type="pct"/>
          </w:tcPr>
          <w:p w:rsidR="00CC2E98" w:rsidRPr="00F90D20" w:rsidRDefault="00CC2E98" w:rsidP="002F27A9">
            <w:pPr>
              <w:pStyle w:val="Tablerow"/>
            </w:pPr>
            <w:r w:rsidRPr="00F90D20">
              <w:t>931.309</w:t>
            </w:r>
          </w:p>
        </w:tc>
        <w:tc>
          <w:tcPr>
            <w:tcW w:w="1354" w:type="pct"/>
            <w:shd w:val="clear" w:color="auto" w:fill="auto"/>
          </w:tcPr>
          <w:p w:rsidR="00CC2E98" w:rsidRPr="00F90D20" w:rsidRDefault="00CC2E98" w:rsidP="002F27A9">
            <w:pPr>
              <w:pStyle w:val="Tablerow"/>
            </w:pPr>
            <w:r w:rsidRPr="00F90D20">
              <w:t>976</w:t>
            </w:r>
          </w:p>
        </w:tc>
      </w:tr>
      <w:tr w:rsidR="004E7708" w:rsidRPr="00F90D20" w:rsidTr="004E7708">
        <w:trPr>
          <w:tblHeader/>
        </w:trPr>
        <w:tc>
          <w:tcPr>
            <w:tcW w:w="2292" w:type="pct"/>
            <w:shd w:val="clear" w:color="auto" w:fill="auto"/>
          </w:tcPr>
          <w:p w:rsidR="00CC2E98" w:rsidRPr="00F90D20" w:rsidRDefault="00CC2E98" w:rsidP="002F27A9">
            <w:pPr>
              <w:pStyle w:val="Tablerow"/>
            </w:pPr>
            <w:proofErr w:type="spellStart"/>
            <w:r w:rsidRPr="00F90D20">
              <w:t>Brimbank</w:t>
            </w:r>
            <w:proofErr w:type="spellEnd"/>
            <w:r w:rsidRPr="00F90D20">
              <w:t xml:space="preserve"> Melton</w:t>
            </w:r>
          </w:p>
        </w:tc>
        <w:tc>
          <w:tcPr>
            <w:tcW w:w="1354" w:type="pct"/>
          </w:tcPr>
          <w:p w:rsidR="00CC2E98" w:rsidRPr="00F90D20" w:rsidRDefault="00CC2E98" w:rsidP="002F27A9">
            <w:pPr>
              <w:pStyle w:val="Tablerow"/>
            </w:pPr>
            <w:r w:rsidRPr="00F90D20">
              <w:t>347.49</w:t>
            </w:r>
          </w:p>
        </w:tc>
        <w:tc>
          <w:tcPr>
            <w:tcW w:w="1354" w:type="pct"/>
            <w:shd w:val="clear" w:color="auto" w:fill="auto"/>
          </w:tcPr>
          <w:p w:rsidR="00CC2E98" w:rsidRPr="00F90D20" w:rsidRDefault="00CC2E98" w:rsidP="002F27A9">
            <w:pPr>
              <w:pStyle w:val="Tablerow"/>
            </w:pPr>
            <w:r w:rsidRPr="00F90D20">
              <w:t>123</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Central Highlands</w:t>
            </w:r>
          </w:p>
        </w:tc>
        <w:tc>
          <w:tcPr>
            <w:tcW w:w="1354" w:type="pct"/>
          </w:tcPr>
          <w:p w:rsidR="00CC2E98" w:rsidRPr="00F90D20" w:rsidRDefault="00CC2E98" w:rsidP="002F27A9">
            <w:pPr>
              <w:pStyle w:val="Tablerow"/>
            </w:pPr>
            <w:r w:rsidRPr="00F90D20">
              <w:t>192.562</w:t>
            </w:r>
          </w:p>
        </w:tc>
        <w:tc>
          <w:tcPr>
            <w:tcW w:w="1354" w:type="pct"/>
            <w:shd w:val="clear" w:color="auto" w:fill="auto"/>
          </w:tcPr>
          <w:p w:rsidR="00CC2E98" w:rsidRPr="00F90D20" w:rsidRDefault="00CC2E98" w:rsidP="002F27A9">
            <w:pPr>
              <w:pStyle w:val="Tablerow"/>
            </w:pPr>
            <w:r w:rsidRPr="00F90D20">
              <w:t>14,672</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Goulburn</w:t>
            </w:r>
          </w:p>
        </w:tc>
        <w:tc>
          <w:tcPr>
            <w:tcW w:w="1354" w:type="pct"/>
          </w:tcPr>
          <w:p w:rsidR="00CC2E98" w:rsidRPr="00F90D20" w:rsidRDefault="00CC2E98" w:rsidP="002F27A9">
            <w:pPr>
              <w:pStyle w:val="Tablerow"/>
            </w:pPr>
            <w:r w:rsidRPr="00F90D20">
              <w:t>160.336</w:t>
            </w:r>
          </w:p>
        </w:tc>
        <w:tc>
          <w:tcPr>
            <w:tcW w:w="1354" w:type="pct"/>
            <w:shd w:val="clear" w:color="auto" w:fill="auto"/>
          </w:tcPr>
          <w:p w:rsidR="00CC2E98" w:rsidRPr="00F90D20" w:rsidRDefault="00CC2E98" w:rsidP="002F27A9">
            <w:pPr>
              <w:pStyle w:val="Tablerow"/>
            </w:pPr>
            <w:r w:rsidRPr="00F90D20">
              <w:t>16,513</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Hume Moreland</w:t>
            </w:r>
          </w:p>
        </w:tc>
        <w:tc>
          <w:tcPr>
            <w:tcW w:w="1354" w:type="pct"/>
          </w:tcPr>
          <w:p w:rsidR="00CC2E98" w:rsidRPr="00F90D20" w:rsidRDefault="00CC2E98" w:rsidP="002F27A9">
            <w:pPr>
              <w:pStyle w:val="Tablerow"/>
            </w:pPr>
            <w:r w:rsidRPr="00F90D20">
              <w:t>379.921</w:t>
            </w:r>
          </w:p>
        </w:tc>
        <w:tc>
          <w:tcPr>
            <w:tcW w:w="1354" w:type="pct"/>
            <w:shd w:val="clear" w:color="auto" w:fill="auto"/>
          </w:tcPr>
          <w:p w:rsidR="00CC2E98" w:rsidRPr="00F90D20" w:rsidRDefault="00CC2E98" w:rsidP="002F27A9">
            <w:pPr>
              <w:pStyle w:val="Tablerow"/>
            </w:pPr>
            <w:r w:rsidRPr="00F90D20">
              <w:t>555</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Inner Eastern Melbourne</w:t>
            </w:r>
          </w:p>
        </w:tc>
        <w:tc>
          <w:tcPr>
            <w:tcW w:w="1354" w:type="pct"/>
          </w:tcPr>
          <w:p w:rsidR="00CC2E98" w:rsidRPr="00F90D20" w:rsidRDefault="00CC2E98" w:rsidP="002F27A9">
            <w:pPr>
              <w:pStyle w:val="Tablerow"/>
            </w:pPr>
            <w:r w:rsidRPr="00F90D20">
              <w:t>663.206</w:t>
            </w:r>
          </w:p>
        </w:tc>
        <w:tc>
          <w:tcPr>
            <w:tcW w:w="1354" w:type="pct"/>
            <w:shd w:val="clear" w:color="auto" w:fill="auto"/>
          </w:tcPr>
          <w:p w:rsidR="00CC2E98" w:rsidRPr="00F90D20" w:rsidRDefault="00CC2E98" w:rsidP="002F27A9">
            <w:pPr>
              <w:pStyle w:val="Tablerow"/>
            </w:pPr>
            <w:r w:rsidRPr="00F90D20">
              <w:t>319</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Inner Gippsland</w:t>
            </w:r>
          </w:p>
        </w:tc>
        <w:tc>
          <w:tcPr>
            <w:tcW w:w="1354" w:type="pct"/>
          </w:tcPr>
          <w:p w:rsidR="00CC2E98" w:rsidRPr="00F90D20" w:rsidRDefault="00CC2E98" w:rsidP="002F27A9">
            <w:pPr>
              <w:pStyle w:val="Tablerow"/>
            </w:pPr>
            <w:r w:rsidRPr="00F90D20">
              <w:t>185.59</w:t>
            </w:r>
          </w:p>
        </w:tc>
        <w:tc>
          <w:tcPr>
            <w:tcW w:w="1354" w:type="pct"/>
            <w:shd w:val="clear" w:color="auto" w:fill="auto"/>
          </w:tcPr>
          <w:p w:rsidR="00CC2E98" w:rsidRPr="00F90D20" w:rsidRDefault="00CC2E98" w:rsidP="002F27A9">
            <w:pPr>
              <w:pStyle w:val="Tablerow"/>
            </w:pPr>
            <w:r w:rsidRPr="00F90D20">
              <w:t>8,190</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Loddon</w:t>
            </w:r>
          </w:p>
        </w:tc>
        <w:tc>
          <w:tcPr>
            <w:tcW w:w="1354" w:type="pct"/>
          </w:tcPr>
          <w:p w:rsidR="00CC2E98" w:rsidRPr="00F90D20" w:rsidRDefault="00CC2E98" w:rsidP="002F27A9">
            <w:pPr>
              <w:pStyle w:val="Tablerow"/>
            </w:pPr>
            <w:r w:rsidRPr="00F90D20">
              <w:t>236.257</w:t>
            </w:r>
          </w:p>
        </w:tc>
        <w:tc>
          <w:tcPr>
            <w:tcW w:w="1354" w:type="pct"/>
            <w:shd w:val="clear" w:color="auto" w:fill="auto"/>
          </w:tcPr>
          <w:p w:rsidR="00CC2E98" w:rsidRPr="00F90D20" w:rsidRDefault="00CC2E98" w:rsidP="002F27A9">
            <w:pPr>
              <w:pStyle w:val="Tablerow"/>
            </w:pPr>
            <w:r w:rsidRPr="00F90D20">
              <w:t>19,026</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Mallee</w:t>
            </w:r>
          </w:p>
        </w:tc>
        <w:tc>
          <w:tcPr>
            <w:tcW w:w="1354" w:type="pct"/>
          </w:tcPr>
          <w:p w:rsidR="00CC2E98" w:rsidRPr="00F90D20" w:rsidRDefault="00CC2E98" w:rsidP="002F27A9">
            <w:pPr>
              <w:pStyle w:val="Tablerow"/>
            </w:pPr>
            <w:r w:rsidRPr="00F90D20">
              <w:t>92.261</w:t>
            </w:r>
          </w:p>
        </w:tc>
        <w:tc>
          <w:tcPr>
            <w:tcW w:w="1354" w:type="pct"/>
            <w:shd w:val="clear" w:color="auto" w:fill="auto"/>
          </w:tcPr>
          <w:p w:rsidR="00CC2E98" w:rsidRPr="00F90D20" w:rsidRDefault="00CC2E98" w:rsidP="002F27A9">
            <w:pPr>
              <w:pStyle w:val="Tablerow"/>
            </w:pPr>
            <w:r w:rsidRPr="00F90D20">
              <w:t>39,934</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North Eastern Melbourne</w:t>
            </w:r>
          </w:p>
        </w:tc>
        <w:tc>
          <w:tcPr>
            <w:tcW w:w="1354" w:type="pct"/>
          </w:tcPr>
          <w:p w:rsidR="00CC2E98" w:rsidRPr="00F90D20" w:rsidRDefault="00CC2E98" w:rsidP="002F27A9">
            <w:pPr>
              <w:pStyle w:val="Tablerow"/>
            </w:pPr>
            <w:r w:rsidRPr="00F90D20">
              <w:t>648.256</w:t>
            </w:r>
          </w:p>
        </w:tc>
        <w:tc>
          <w:tcPr>
            <w:tcW w:w="1354" w:type="pct"/>
            <w:shd w:val="clear" w:color="auto" w:fill="auto"/>
          </w:tcPr>
          <w:p w:rsidR="00CC2E98" w:rsidRPr="00F90D20" w:rsidRDefault="00CC2E98" w:rsidP="002F27A9">
            <w:pPr>
              <w:pStyle w:val="Tablerow"/>
            </w:pPr>
            <w:r w:rsidRPr="00F90D20">
              <w:t>1,058</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Outer Eastern Melbourne</w:t>
            </w:r>
          </w:p>
        </w:tc>
        <w:tc>
          <w:tcPr>
            <w:tcW w:w="1354" w:type="pct"/>
          </w:tcPr>
          <w:p w:rsidR="00CC2E98" w:rsidRPr="00F90D20" w:rsidRDefault="00CC2E98" w:rsidP="002F27A9">
            <w:pPr>
              <w:pStyle w:val="Tablerow"/>
            </w:pPr>
            <w:r w:rsidRPr="00F90D20">
              <w:t>430.956</w:t>
            </w:r>
          </w:p>
        </w:tc>
        <w:tc>
          <w:tcPr>
            <w:tcW w:w="1354" w:type="pct"/>
            <w:shd w:val="clear" w:color="auto" w:fill="auto"/>
          </w:tcPr>
          <w:p w:rsidR="00CC2E98" w:rsidRPr="00F90D20" w:rsidRDefault="00CC2E98" w:rsidP="002F27A9">
            <w:pPr>
              <w:pStyle w:val="Tablerow"/>
            </w:pPr>
            <w:r w:rsidRPr="00F90D20">
              <w:t>2,644</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Outer Gippsland</w:t>
            </w:r>
          </w:p>
        </w:tc>
        <w:tc>
          <w:tcPr>
            <w:tcW w:w="1354" w:type="pct"/>
          </w:tcPr>
          <w:p w:rsidR="00CC2E98" w:rsidRPr="00F90D20" w:rsidRDefault="00CC2E98" w:rsidP="002F27A9">
            <w:pPr>
              <w:pStyle w:val="Tablerow"/>
            </w:pPr>
            <w:r w:rsidRPr="00F90D20">
              <w:t>88.891</w:t>
            </w:r>
          </w:p>
        </w:tc>
        <w:tc>
          <w:tcPr>
            <w:tcW w:w="1354" w:type="pct"/>
            <w:shd w:val="clear" w:color="auto" w:fill="auto"/>
          </w:tcPr>
          <w:p w:rsidR="00CC2E98" w:rsidRPr="00F90D20" w:rsidRDefault="00CC2E98" w:rsidP="002F27A9">
            <w:pPr>
              <w:pStyle w:val="Tablerow"/>
            </w:pPr>
            <w:r w:rsidRPr="00F90D20">
              <w:t>31,758</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Ovens Murray</w:t>
            </w:r>
          </w:p>
        </w:tc>
        <w:tc>
          <w:tcPr>
            <w:tcW w:w="1354" w:type="pct"/>
          </w:tcPr>
          <w:p w:rsidR="00CC2E98" w:rsidRPr="00F90D20" w:rsidRDefault="00CC2E98" w:rsidP="002F27A9">
            <w:pPr>
              <w:pStyle w:val="Tablerow"/>
            </w:pPr>
            <w:r w:rsidRPr="00F90D20">
              <w:t>125.428</w:t>
            </w:r>
          </w:p>
        </w:tc>
        <w:tc>
          <w:tcPr>
            <w:tcW w:w="1354" w:type="pct"/>
            <w:shd w:val="clear" w:color="auto" w:fill="auto"/>
          </w:tcPr>
          <w:p w:rsidR="00CC2E98" w:rsidRPr="00F90D20" w:rsidRDefault="00CC2E98" w:rsidP="002F27A9">
            <w:pPr>
              <w:pStyle w:val="Tablerow"/>
            </w:pPr>
            <w:r w:rsidRPr="00F90D20">
              <w:t>23,345</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Southern Melbourne</w:t>
            </w:r>
          </w:p>
        </w:tc>
        <w:tc>
          <w:tcPr>
            <w:tcW w:w="1354" w:type="pct"/>
          </w:tcPr>
          <w:p w:rsidR="00CC2E98" w:rsidRPr="00F90D20" w:rsidRDefault="00CC2E98" w:rsidP="002F27A9">
            <w:pPr>
              <w:pStyle w:val="Tablerow"/>
            </w:pPr>
            <w:r w:rsidRPr="00F90D20">
              <w:t>572.098</w:t>
            </w:r>
          </w:p>
        </w:tc>
        <w:tc>
          <w:tcPr>
            <w:tcW w:w="1354" w:type="pct"/>
            <w:shd w:val="clear" w:color="auto" w:fill="auto"/>
          </w:tcPr>
          <w:p w:rsidR="00CC2E98" w:rsidRPr="00F90D20" w:rsidRDefault="00CC2E98" w:rsidP="002F27A9">
            <w:pPr>
              <w:pStyle w:val="Tablerow"/>
            </w:pPr>
            <w:r w:rsidRPr="00F90D20">
              <w:t>1,822</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Western District</w:t>
            </w:r>
          </w:p>
        </w:tc>
        <w:tc>
          <w:tcPr>
            <w:tcW w:w="1354" w:type="pct"/>
          </w:tcPr>
          <w:p w:rsidR="00CC2E98" w:rsidRPr="00F90D20" w:rsidRDefault="00CC2E98" w:rsidP="002F27A9">
            <w:pPr>
              <w:pStyle w:val="Tablerow"/>
            </w:pPr>
            <w:r w:rsidRPr="00F90D20">
              <w:t>150.648</w:t>
            </w:r>
          </w:p>
        </w:tc>
        <w:tc>
          <w:tcPr>
            <w:tcW w:w="1354" w:type="pct"/>
            <w:shd w:val="clear" w:color="auto" w:fill="auto"/>
          </w:tcPr>
          <w:p w:rsidR="00CC2E98" w:rsidRPr="00F90D20" w:rsidRDefault="00CC2E98" w:rsidP="002F27A9">
            <w:pPr>
              <w:pStyle w:val="Tablerow"/>
            </w:pPr>
            <w:r w:rsidRPr="00F90D20">
              <w:t>56,838</w:t>
            </w:r>
          </w:p>
        </w:tc>
      </w:tr>
      <w:tr w:rsidR="004E7708" w:rsidRPr="00F90D20" w:rsidTr="004E7708">
        <w:trPr>
          <w:tblHeader/>
        </w:trPr>
        <w:tc>
          <w:tcPr>
            <w:tcW w:w="2292" w:type="pct"/>
            <w:shd w:val="clear" w:color="auto" w:fill="auto"/>
          </w:tcPr>
          <w:p w:rsidR="00CC2E98" w:rsidRPr="00F90D20" w:rsidRDefault="00CC2E98" w:rsidP="002F27A9">
            <w:pPr>
              <w:pStyle w:val="Tablerow"/>
            </w:pPr>
            <w:r w:rsidRPr="00F90D20">
              <w:t>Western Melbourne</w:t>
            </w:r>
          </w:p>
        </w:tc>
        <w:tc>
          <w:tcPr>
            <w:tcW w:w="1354" w:type="pct"/>
          </w:tcPr>
          <w:p w:rsidR="00CC2E98" w:rsidRPr="00F90D20" w:rsidRDefault="00CC2E98" w:rsidP="002F27A9">
            <w:pPr>
              <w:pStyle w:val="Tablerow"/>
            </w:pPr>
            <w:r w:rsidRPr="00F90D20">
              <w:t>679.842</w:t>
            </w:r>
          </w:p>
        </w:tc>
        <w:tc>
          <w:tcPr>
            <w:tcW w:w="1354" w:type="pct"/>
            <w:shd w:val="clear" w:color="auto" w:fill="auto"/>
          </w:tcPr>
          <w:p w:rsidR="00CC2E98" w:rsidRPr="00F90D20" w:rsidRDefault="00CC2E98" w:rsidP="002F27A9">
            <w:pPr>
              <w:pStyle w:val="Tablerow"/>
            </w:pPr>
            <w:r w:rsidRPr="00F90D20">
              <w:t>718</w:t>
            </w:r>
          </w:p>
        </w:tc>
      </w:tr>
    </w:tbl>
    <w:p w:rsidR="007D523B" w:rsidRPr="00500F57" w:rsidRDefault="00EF2198" w:rsidP="002F27A9">
      <w:pPr>
        <w:pStyle w:val="Heading2"/>
      </w:pPr>
      <w:r w:rsidRPr="00500F57">
        <w:lastRenderedPageBreak/>
        <w:t>Economic</w:t>
      </w:r>
      <w:r w:rsidR="00C54C44" w:rsidRPr="00500F57">
        <w:t xml:space="preserve"> framework</w:t>
      </w:r>
    </w:p>
    <w:p w:rsidR="00D55005" w:rsidRPr="009F0FF4" w:rsidRDefault="00A75456" w:rsidP="002F27A9">
      <w:pPr>
        <w:rPr>
          <w:rStyle w:val="Emphasis"/>
        </w:rPr>
      </w:pPr>
      <w:r w:rsidRPr="009F0FF4">
        <w:rPr>
          <w:rStyle w:val="Emphasis"/>
        </w:rPr>
        <w:t>A</w:t>
      </w:r>
      <w:r w:rsidR="00307165" w:rsidRPr="009F0FF4">
        <w:rPr>
          <w:rStyle w:val="Emphasis"/>
        </w:rPr>
        <w:t>ctive recreation</w:t>
      </w:r>
      <w:r w:rsidRPr="009F0FF4">
        <w:rPr>
          <w:rStyle w:val="Emphasis"/>
        </w:rPr>
        <w:t xml:space="preserve"> in Victoria</w:t>
      </w:r>
      <w:r w:rsidR="00C54C44" w:rsidRPr="009F0FF4">
        <w:rPr>
          <w:rStyle w:val="Emphasis"/>
        </w:rPr>
        <w:t xml:space="preserve"> contribute</w:t>
      </w:r>
      <w:r w:rsidRPr="009F0FF4">
        <w:rPr>
          <w:rStyle w:val="Emphasis"/>
        </w:rPr>
        <w:t>s</w:t>
      </w:r>
      <w:r w:rsidR="00C54C44" w:rsidRPr="009F0FF4">
        <w:rPr>
          <w:rStyle w:val="Emphasis"/>
        </w:rPr>
        <w:t xml:space="preserve"> to our economy directly and indirectly. </w:t>
      </w:r>
      <w:r w:rsidR="00307165" w:rsidRPr="009F0FF4">
        <w:rPr>
          <w:rStyle w:val="Emphasis"/>
        </w:rPr>
        <w:t>Active recreation</w:t>
      </w:r>
      <w:r w:rsidR="00C54C44" w:rsidRPr="009F0FF4">
        <w:rPr>
          <w:rStyle w:val="Emphasis"/>
        </w:rPr>
        <w:t xml:space="preserve"> also </w:t>
      </w:r>
      <w:r w:rsidR="007F5A54" w:rsidRPr="009F0FF4">
        <w:rPr>
          <w:rStyle w:val="Emphasis"/>
        </w:rPr>
        <w:t>affects</w:t>
      </w:r>
      <w:r w:rsidR="00C54C44" w:rsidRPr="009F0FF4">
        <w:rPr>
          <w:rStyle w:val="Emphasis"/>
        </w:rPr>
        <w:t xml:space="preserve"> our wellbeing, health and happiness</w:t>
      </w:r>
      <w:r w:rsidR="00A77D22" w:rsidRPr="009F0FF4">
        <w:rPr>
          <w:rStyle w:val="Emphasis"/>
        </w:rPr>
        <w:t>, which has implications for</w:t>
      </w:r>
      <w:r w:rsidR="001A69A9" w:rsidRPr="009F0FF4">
        <w:rPr>
          <w:rStyle w:val="Emphasis"/>
        </w:rPr>
        <w:t xml:space="preserve"> all of</w:t>
      </w:r>
      <w:r w:rsidR="00A77D22" w:rsidRPr="009F0FF4">
        <w:rPr>
          <w:rStyle w:val="Emphasis"/>
        </w:rPr>
        <w:t xml:space="preserve"> us and our economy</w:t>
      </w:r>
      <w:r w:rsidR="00C54C44" w:rsidRPr="009F0FF4">
        <w:rPr>
          <w:rStyle w:val="Emphasis"/>
        </w:rPr>
        <w:t>.</w:t>
      </w:r>
    </w:p>
    <w:p w:rsidR="00A77D22" w:rsidRPr="00500F57" w:rsidRDefault="00874868" w:rsidP="002F27A9">
      <w:r w:rsidRPr="00500F57">
        <w:t>We designed our</w:t>
      </w:r>
      <w:r w:rsidR="00C54C44" w:rsidRPr="00500F57">
        <w:t xml:space="preserve"> </w:t>
      </w:r>
      <w:r w:rsidR="00013373" w:rsidRPr="00500F57">
        <w:t xml:space="preserve">evaluation </w:t>
      </w:r>
      <w:r w:rsidR="00C54C44" w:rsidRPr="00500F57">
        <w:t xml:space="preserve">framework </w:t>
      </w:r>
      <w:r w:rsidRPr="00500F57">
        <w:t xml:space="preserve">to </w:t>
      </w:r>
      <w:r w:rsidR="00C54C44" w:rsidRPr="00500F57">
        <w:t xml:space="preserve">estimate the </w:t>
      </w:r>
      <w:r w:rsidRPr="00500F57">
        <w:t xml:space="preserve">economic </w:t>
      </w:r>
      <w:r w:rsidR="00780AB6" w:rsidRPr="00500F57">
        <w:t>contribution</w:t>
      </w:r>
      <w:r w:rsidRPr="00500F57">
        <w:t xml:space="preserve"> of </w:t>
      </w:r>
      <w:r w:rsidR="00013373" w:rsidRPr="00500F57">
        <w:t xml:space="preserve">active recreation </w:t>
      </w:r>
      <w:r w:rsidR="001A69A9" w:rsidRPr="00500F57">
        <w:t>to Victoria</w:t>
      </w:r>
      <w:r w:rsidRPr="00500F57">
        <w:t xml:space="preserve">, and </w:t>
      </w:r>
      <w:r w:rsidR="00013373" w:rsidRPr="00500F57">
        <w:t xml:space="preserve">also </w:t>
      </w:r>
      <w:r w:rsidR="00434F79">
        <w:t>its</w:t>
      </w:r>
      <w:r w:rsidR="00434F79" w:rsidRPr="00500F57">
        <w:t xml:space="preserve"> </w:t>
      </w:r>
      <w:r w:rsidRPr="00500F57">
        <w:t xml:space="preserve">welfare </w:t>
      </w:r>
      <w:r w:rsidR="001A69A9" w:rsidRPr="00500F57">
        <w:t>contribution</w:t>
      </w:r>
      <w:r w:rsidRPr="00500F57">
        <w:t>.</w:t>
      </w:r>
      <w:r w:rsidR="00D55005" w:rsidRPr="00500F57">
        <w:t xml:space="preserve"> </w:t>
      </w:r>
      <w:r w:rsidR="00AC65C2" w:rsidRPr="00500F57">
        <w:t xml:space="preserve">Figure </w:t>
      </w:r>
      <w:r w:rsidR="00E20CED">
        <w:t>2</w:t>
      </w:r>
      <w:r w:rsidR="00AC65C2" w:rsidRPr="00500F57">
        <w:t xml:space="preserve"> </w:t>
      </w:r>
      <w:r w:rsidR="001A69A9" w:rsidRPr="00500F57">
        <w:t>summarises the</w:t>
      </w:r>
      <w:r w:rsidR="00A77D22" w:rsidRPr="00500F57">
        <w:t xml:space="preserve"> approach </w:t>
      </w:r>
      <w:r w:rsidR="00434F79">
        <w:t>we used</w:t>
      </w:r>
      <w:r w:rsidR="00434F79" w:rsidRPr="00500F57">
        <w:t xml:space="preserve"> </w:t>
      </w:r>
      <w:r w:rsidR="00BB64E9" w:rsidRPr="00500F57">
        <w:t xml:space="preserve">to </w:t>
      </w:r>
      <w:r w:rsidR="00ED08C5" w:rsidRPr="00500F57">
        <w:t>map out the</w:t>
      </w:r>
      <w:r w:rsidR="001A69A9" w:rsidRPr="00500F57">
        <w:t xml:space="preserve"> </w:t>
      </w:r>
      <w:r w:rsidR="00013373" w:rsidRPr="00500F57">
        <w:t xml:space="preserve">separate </w:t>
      </w:r>
      <w:r w:rsidR="001A69A9" w:rsidRPr="00500F57">
        <w:t xml:space="preserve">contribution </w:t>
      </w:r>
      <w:r w:rsidR="00BB64E9" w:rsidRPr="00500F57">
        <w:t>pathways.</w:t>
      </w:r>
    </w:p>
    <w:p w:rsidR="00661CDE" w:rsidRPr="00500F57" w:rsidRDefault="001A69A9" w:rsidP="002F27A9">
      <w:pPr>
        <w:pStyle w:val="Heading3"/>
        <w:ind w:left="0"/>
      </w:pPr>
      <w:r w:rsidRPr="00500F57">
        <w:t>E</w:t>
      </w:r>
      <w:r w:rsidR="006D50DF" w:rsidRPr="00500F57">
        <w:t xml:space="preserve">conomic </w:t>
      </w:r>
      <w:r w:rsidR="00ED08C5" w:rsidRPr="00500F57">
        <w:t>contribution</w:t>
      </w:r>
    </w:p>
    <w:p w:rsidR="00793F96" w:rsidRPr="00500F57" w:rsidRDefault="00780AB6" w:rsidP="002F27A9">
      <w:r w:rsidRPr="00500F57">
        <w:t>The economic contribution</w:t>
      </w:r>
      <w:r w:rsidR="00ED08C5" w:rsidRPr="00500F57">
        <w:t xml:space="preserve"> pathway </w:t>
      </w:r>
      <w:r w:rsidRPr="00500F57">
        <w:t>estimates</w:t>
      </w:r>
      <w:r w:rsidR="00ED08C5" w:rsidRPr="00500F57">
        <w:t xml:space="preserve"> how </w:t>
      </w:r>
      <w:r w:rsidR="00BB64E9" w:rsidRPr="00500F57">
        <w:t xml:space="preserve">Victoria’s </w:t>
      </w:r>
      <w:r w:rsidR="002328FD" w:rsidRPr="00500F57">
        <w:t>active recreation</w:t>
      </w:r>
      <w:r w:rsidRPr="00500F57">
        <w:t xml:space="preserve"> </w:t>
      </w:r>
      <w:r w:rsidR="00ED08C5" w:rsidRPr="00500F57">
        <w:t xml:space="preserve">sector contributes to the Victorian economy through </w:t>
      </w:r>
      <w:r w:rsidR="002F4AB9" w:rsidRPr="00500F57">
        <w:t>market transactions and output</w:t>
      </w:r>
      <w:r w:rsidR="00ED08C5" w:rsidRPr="00500F57">
        <w:t xml:space="preserve">. </w:t>
      </w:r>
      <w:r w:rsidR="00BB64E9" w:rsidRPr="00500F57">
        <w:t xml:space="preserve">The significance of a sector is usually defined by its relative share of </w:t>
      </w:r>
      <w:r w:rsidR="002F4AB9" w:rsidRPr="00500F57">
        <w:t xml:space="preserve">market </w:t>
      </w:r>
      <w:r w:rsidR="00793F96" w:rsidRPr="00500F57">
        <w:t>transactions</w:t>
      </w:r>
      <w:r w:rsidR="00BB64E9" w:rsidRPr="00500F57">
        <w:t xml:space="preserve"> and output compared to other industries</w:t>
      </w:r>
      <w:r w:rsidR="00793F96" w:rsidRPr="00500F57">
        <w:t>.</w:t>
      </w:r>
    </w:p>
    <w:p w:rsidR="0015554B" w:rsidRDefault="002F4AB9" w:rsidP="00FA4E06">
      <w:r w:rsidRPr="003A578D">
        <w:t>Th</w:t>
      </w:r>
      <w:r w:rsidR="00C25A52" w:rsidRPr="003A578D">
        <w:t>is</w:t>
      </w:r>
      <w:r w:rsidR="00ED08C5" w:rsidRPr="003A578D">
        <w:t xml:space="preserve"> part of </w:t>
      </w:r>
      <w:r w:rsidR="00434F79" w:rsidRPr="003A578D">
        <w:t xml:space="preserve">our </w:t>
      </w:r>
      <w:r w:rsidR="00ED08C5" w:rsidRPr="003A578D">
        <w:t>analysis</w:t>
      </w:r>
      <w:r w:rsidR="000C36F8" w:rsidRPr="003A578D">
        <w:t xml:space="preserve"> </w:t>
      </w:r>
      <w:r w:rsidR="00793F96" w:rsidRPr="003A578D">
        <w:t>use</w:t>
      </w:r>
      <w:r w:rsidR="00434F79" w:rsidRPr="003A578D">
        <w:t>d</w:t>
      </w:r>
      <w:r w:rsidR="00793F96" w:rsidRPr="003A578D">
        <w:t xml:space="preserve"> a bottom-up approach to estimate the economic contribution of </w:t>
      </w:r>
      <w:r w:rsidR="00E54D0A" w:rsidRPr="003A578D">
        <w:t>active recreation</w:t>
      </w:r>
      <w:r w:rsidR="00793F96" w:rsidRPr="003A578D">
        <w:t>.</w:t>
      </w:r>
      <w:r w:rsidR="00D55005" w:rsidRPr="003A578D">
        <w:t xml:space="preserve"> </w:t>
      </w:r>
      <w:r w:rsidR="00793F96" w:rsidRPr="003A578D">
        <w:t xml:space="preserve">We </w:t>
      </w:r>
      <w:r w:rsidR="00C25A52" w:rsidRPr="003A578D">
        <w:t xml:space="preserve">did </w:t>
      </w:r>
      <w:r w:rsidR="00793F96" w:rsidRPr="003A578D">
        <w:t>this by identifying</w:t>
      </w:r>
      <w:r w:rsidR="00ED08C5" w:rsidRPr="003A578D">
        <w:t xml:space="preserve"> the types of expenditures associated with </w:t>
      </w:r>
      <w:r w:rsidR="00307165" w:rsidRPr="003A578D">
        <w:t>active recreation</w:t>
      </w:r>
      <w:r w:rsidR="00793F96" w:rsidRPr="003A578D">
        <w:t xml:space="preserve"> from</w:t>
      </w:r>
      <w:r w:rsidR="00396E34" w:rsidRPr="003A578D">
        <w:t xml:space="preserve"> available</w:t>
      </w:r>
      <w:r w:rsidR="00793F96" w:rsidRPr="003A578D">
        <w:t xml:space="preserve"> surveys and industry data</w:t>
      </w:r>
      <w:r w:rsidR="0015554B">
        <w:t xml:space="preserve">. </w:t>
      </w:r>
    </w:p>
    <w:p w:rsidR="00D55005" w:rsidRPr="0015554B" w:rsidRDefault="00737DF6" w:rsidP="00492209">
      <w:pPr>
        <w:rPr>
          <w:rFonts w:eastAsia="Times New Roman"/>
          <w:b/>
          <w:bCs/>
          <w:noProof/>
          <w:color w:val="53565A"/>
          <w:spacing w:val="0"/>
        </w:rPr>
      </w:pPr>
      <w:r>
        <w:t xml:space="preserve">Figure </w:t>
      </w:r>
      <w:r w:rsidR="00E20CED">
        <w:t>2</w:t>
      </w:r>
      <w:r>
        <w:t xml:space="preserve"> and Table 3 </w:t>
      </w:r>
      <w:r w:rsidR="00C06D86" w:rsidRPr="00500F57">
        <w:t>show</w:t>
      </w:r>
      <w:r w:rsidR="007615CF" w:rsidRPr="00500F57">
        <w:t xml:space="preserve"> the economic contribution categories that we estimate</w:t>
      </w:r>
      <w:r w:rsidR="00C25A52">
        <w:t>d, including</w:t>
      </w:r>
      <w:r w:rsidR="00ED08C5" w:rsidRPr="00500F57">
        <w:t xml:space="preserve"> product sales, trips and travel</w:t>
      </w:r>
      <w:r w:rsidR="00C25A52">
        <w:t>-</w:t>
      </w:r>
      <w:r w:rsidR="00ED08C5" w:rsidRPr="00500F57">
        <w:t>related spending</w:t>
      </w:r>
      <w:r w:rsidR="00333350" w:rsidRPr="00500F57">
        <w:t xml:space="preserve"> and</w:t>
      </w:r>
      <w:r w:rsidR="00ED08C5" w:rsidRPr="00500F57">
        <w:t xml:space="preserve"> </w:t>
      </w:r>
      <w:r w:rsidR="00C06D86" w:rsidRPr="00500F57">
        <w:t xml:space="preserve">expenditure on </w:t>
      </w:r>
      <w:r w:rsidR="00ED08C5" w:rsidRPr="00500F57">
        <w:t>infrastructure</w:t>
      </w:r>
      <w:r w:rsidR="00C06D86" w:rsidRPr="00500F57">
        <w:t xml:space="preserve"> that</w:t>
      </w:r>
      <w:r w:rsidR="00ED08C5" w:rsidRPr="00500F57">
        <w:t xml:space="preserve"> support</w:t>
      </w:r>
      <w:r w:rsidR="00C06D86" w:rsidRPr="00500F57">
        <w:t>s</w:t>
      </w:r>
      <w:r w:rsidR="00E54D0A" w:rsidRPr="00500F57">
        <w:t xml:space="preserve"> active recreation</w:t>
      </w:r>
      <w:r w:rsidR="00C25A52">
        <w:t xml:space="preserve"> in Victoria</w:t>
      </w:r>
      <w:r w:rsidR="00ED08C5" w:rsidRPr="00500F57">
        <w:t>.</w:t>
      </w:r>
    </w:p>
    <w:p w:rsidR="00D55005" w:rsidRPr="00500F57" w:rsidRDefault="000E1092" w:rsidP="00492209">
      <w:r w:rsidRPr="00500F57">
        <w:t>A</w:t>
      </w:r>
      <w:r w:rsidR="00C25A52">
        <w:t>ppendix </w:t>
      </w:r>
      <w:r w:rsidR="00307165" w:rsidRPr="00500F57">
        <w:t>C</w:t>
      </w:r>
      <w:r w:rsidRPr="00500F57">
        <w:t xml:space="preserve"> </w:t>
      </w:r>
      <w:r w:rsidR="00ED08C5" w:rsidRPr="00500F57">
        <w:t>discusses</w:t>
      </w:r>
      <w:r w:rsidR="00C25A52">
        <w:t xml:space="preserve"> in more detail</w:t>
      </w:r>
      <w:r w:rsidR="00ED08C5" w:rsidRPr="00500F57">
        <w:t xml:space="preserve"> how we </w:t>
      </w:r>
      <w:r w:rsidR="00C25A52">
        <w:t>came</w:t>
      </w:r>
      <w:r w:rsidR="00ED08C5" w:rsidRPr="00500F57">
        <w:t xml:space="preserve"> up</w:t>
      </w:r>
      <w:r w:rsidR="00780AB6" w:rsidRPr="00500F57">
        <w:t xml:space="preserve"> with estimates for expenditures</w:t>
      </w:r>
      <w:r w:rsidR="00ED08C5" w:rsidRPr="00500F57">
        <w:t xml:space="preserve"> </w:t>
      </w:r>
      <w:r w:rsidR="00396E34" w:rsidRPr="00500F57">
        <w:t xml:space="preserve">and </w:t>
      </w:r>
      <w:r w:rsidR="00F75F23">
        <w:t xml:space="preserve">lists </w:t>
      </w:r>
      <w:r w:rsidR="00396E34" w:rsidRPr="00500F57">
        <w:t>the data sources used</w:t>
      </w:r>
      <w:r w:rsidR="00ED08C5" w:rsidRPr="00500F57">
        <w:t>.</w:t>
      </w:r>
      <w:r w:rsidR="00D55005" w:rsidRPr="00500F57">
        <w:t xml:space="preserve"> </w:t>
      </w:r>
      <w:r w:rsidR="00780AB6" w:rsidRPr="00500F57">
        <w:t xml:space="preserve">The data we used </w:t>
      </w:r>
      <w:r w:rsidR="00C25A52">
        <w:t>for the</w:t>
      </w:r>
      <w:r w:rsidR="00780AB6" w:rsidRPr="00500F57">
        <w:t xml:space="preserve"> estimates include</w:t>
      </w:r>
      <w:r w:rsidR="00C25A52">
        <w:t>d</w:t>
      </w:r>
      <w:r w:rsidR="00780AB6" w:rsidRPr="00500F57">
        <w:t xml:space="preserve"> expenditure and participation data.</w:t>
      </w:r>
      <w:r w:rsidR="00D55005" w:rsidRPr="00500F57">
        <w:t xml:space="preserve"> </w:t>
      </w:r>
      <w:r w:rsidR="00780AB6" w:rsidRPr="00500F57">
        <w:t>We organised th</w:t>
      </w:r>
      <w:r w:rsidR="00C25A52">
        <w:t>at</w:t>
      </w:r>
      <w:r w:rsidR="00780AB6" w:rsidRPr="00500F57">
        <w:t xml:space="preserve"> data into general expenditure categories to calculate </w:t>
      </w:r>
      <w:r w:rsidR="00C25A52">
        <w:t xml:space="preserve">the </w:t>
      </w:r>
      <w:r w:rsidR="00780AB6" w:rsidRPr="00500F57">
        <w:t>economic contribution.</w:t>
      </w:r>
    </w:p>
    <w:p w:rsidR="002E13B9" w:rsidRDefault="00333350" w:rsidP="002F27A9">
      <w:r w:rsidRPr="00500F57">
        <w:t xml:space="preserve">Our economic contribution calculations </w:t>
      </w:r>
      <w:r w:rsidR="00C25A52">
        <w:t>were</w:t>
      </w:r>
      <w:r w:rsidR="00C25A52" w:rsidRPr="00500F57">
        <w:t xml:space="preserve"> </w:t>
      </w:r>
      <w:r w:rsidRPr="00500F57">
        <w:t xml:space="preserve">done using Regional Development Victoria’s </w:t>
      </w:r>
      <w:r w:rsidR="002E13B9">
        <w:t>purpose-built I</w:t>
      </w:r>
      <w:r w:rsidRPr="00500F57">
        <w:t>nput</w:t>
      </w:r>
      <w:r w:rsidR="002E13B9">
        <w:t>–O</w:t>
      </w:r>
      <w:r w:rsidRPr="00500F57">
        <w:t xml:space="preserve">utput </w:t>
      </w:r>
      <w:r w:rsidR="002E13B9">
        <w:t xml:space="preserve">(IO) </w:t>
      </w:r>
      <w:r w:rsidRPr="00500F57">
        <w:t>model for recreation activities.</w:t>
      </w:r>
      <w:r w:rsidR="00D55005" w:rsidRPr="00500F57">
        <w:t xml:space="preserve"> </w:t>
      </w:r>
      <w:r w:rsidRPr="00500F57">
        <w:t>Th</w:t>
      </w:r>
      <w:r w:rsidR="00C25A52">
        <w:t>e</w:t>
      </w:r>
      <w:r w:rsidRPr="00500F57">
        <w:t xml:space="preserve"> model uses data</w:t>
      </w:r>
      <w:r w:rsidR="00C25A52">
        <w:t xml:space="preserve"> at the local government area level</w:t>
      </w:r>
      <w:r w:rsidRPr="00500F57">
        <w:t xml:space="preserve"> on economic and industry relationships to simulate revenue flows to </w:t>
      </w:r>
      <w:r w:rsidR="000E51E7" w:rsidRPr="00500F57">
        <w:t>existing</w:t>
      </w:r>
      <w:r w:rsidRPr="00500F57">
        <w:t xml:space="preserve"> businesses (direct contributions)</w:t>
      </w:r>
      <w:r w:rsidR="006C5510" w:rsidRPr="00500F57">
        <w:t>,</w:t>
      </w:r>
      <w:r w:rsidRPr="00500F57">
        <w:t xml:space="preserve"> flow-on effects to related industries from which purchases are made (indirect contributions)</w:t>
      </w:r>
      <w:r w:rsidR="006C5510" w:rsidRPr="00500F57">
        <w:t>,</w:t>
      </w:r>
      <w:r w:rsidRPr="00500F57">
        <w:t xml:space="preserve"> and effects from expenditures made through household income and salaries (induced contributions).</w:t>
      </w:r>
      <w:r w:rsidR="002E13B9">
        <w:t xml:space="preserve">  </w:t>
      </w:r>
    </w:p>
    <w:p w:rsidR="00D55005" w:rsidRPr="00500F57" w:rsidRDefault="002E13B9" w:rsidP="002F27A9">
      <w:r>
        <w:t xml:space="preserve">The IO modelling approach has been used in this evaluation due to model availability and project budget constraints.  IO models have a number of limitations which mean they are more likely to overstate than understate economic impacts within an economy.  These limitations are discussed in Appendix C.  </w:t>
      </w:r>
    </w:p>
    <w:p w:rsidR="00D55005" w:rsidRPr="00500F57" w:rsidRDefault="00333350" w:rsidP="002F27A9">
      <w:r w:rsidRPr="00500F57">
        <w:lastRenderedPageBreak/>
        <w:t xml:space="preserve">We report </w:t>
      </w:r>
      <w:r w:rsidR="00414AAF" w:rsidRPr="00500F57">
        <w:t>three</w:t>
      </w:r>
      <w:r w:rsidR="00ED09D8" w:rsidRPr="00500F57">
        <w:t xml:space="preserve"> </w:t>
      </w:r>
      <w:r w:rsidRPr="00500F57">
        <w:t xml:space="preserve">key </w:t>
      </w:r>
      <w:r w:rsidR="00CC2FA8" w:rsidRPr="00500F57">
        <w:t xml:space="preserve">gross </w:t>
      </w:r>
      <w:r w:rsidRPr="00500F57">
        <w:t>measures of economic contribution</w:t>
      </w:r>
      <w:r w:rsidR="000B6548" w:rsidRPr="00500F57">
        <w:t xml:space="preserve">. Each of the </w:t>
      </w:r>
      <w:r w:rsidR="00ED09D8" w:rsidRPr="00500F57">
        <w:t>measures</w:t>
      </w:r>
      <w:r w:rsidR="000B6548" w:rsidRPr="00500F57">
        <w:t xml:space="preserve"> provides a different measure of </w:t>
      </w:r>
      <w:r w:rsidR="00CC2FA8" w:rsidRPr="00500F57">
        <w:t xml:space="preserve">gross </w:t>
      </w:r>
      <w:r w:rsidR="000B6548" w:rsidRPr="00500F57">
        <w:t>economic</w:t>
      </w:r>
      <w:r w:rsidR="00E54D0A" w:rsidRPr="00500F57">
        <w:t xml:space="preserve"> contribution. Importantly, the measures</w:t>
      </w:r>
      <w:r w:rsidR="000B6548" w:rsidRPr="00500F57">
        <w:t xml:space="preserve"> cannot be added together. </w:t>
      </w:r>
      <w:r w:rsidR="006C5510" w:rsidRPr="00500F57">
        <w:t>Also, because they are</w:t>
      </w:r>
      <w:r w:rsidR="00CC2FA8" w:rsidRPr="00500F57">
        <w:t xml:space="preserve"> gross measures</w:t>
      </w:r>
      <w:r w:rsidR="00C25A52">
        <w:t>,</w:t>
      </w:r>
      <w:r w:rsidR="00CC2FA8" w:rsidRPr="00500F57">
        <w:t xml:space="preserve"> they do not account for the fact that</w:t>
      </w:r>
      <w:r w:rsidR="00C25A52">
        <w:t>,</w:t>
      </w:r>
      <w:r w:rsidR="006C5510" w:rsidRPr="00500F57">
        <w:t xml:space="preserve"> if expenditure did not occur on</w:t>
      </w:r>
      <w:r w:rsidR="00CC2FA8" w:rsidRPr="00500F57">
        <w:t xml:space="preserve"> </w:t>
      </w:r>
      <w:r w:rsidR="00E54D0A" w:rsidRPr="00500F57">
        <w:t xml:space="preserve">active </w:t>
      </w:r>
      <w:r w:rsidR="005404CC" w:rsidRPr="00500F57">
        <w:t>recreation</w:t>
      </w:r>
      <w:r w:rsidR="00CC2FA8" w:rsidRPr="00500F57">
        <w:t xml:space="preserve"> </w:t>
      </w:r>
      <w:r w:rsidR="000C36F8" w:rsidRPr="00500F57">
        <w:t>in Victoria</w:t>
      </w:r>
      <w:r w:rsidR="006C5510" w:rsidRPr="00500F57">
        <w:t>,</w:t>
      </w:r>
      <w:r w:rsidR="000C36F8" w:rsidRPr="00500F57">
        <w:t xml:space="preserve"> </w:t>
      </w:r>
      <w:r w:rsidR="00C25A52">
        <w:t>it</w:t>
      </w:r>
      <w:r w:rsidR="006C5510" w:rsidRPr="00500F57">
        <w:t xml:space="preserve"> </w:t>
      </w:r>
      <w:r w:rsidR="00CC2FA8" w:rsidRPr="00500F57">
        <w:t>would</w:t>
      </w:r>
      <w:r w:rsidR="006C5510" w:rsidRPr="00500F57">
        <w:t xml:space="preserve"> </w:t>
      </w:r>
      <w:r w:rsidR="00C25A52">
        <w:t xml:space="preserve">be </w:t>
      </w:r>
      <w:r w:rsidR="006C5510" w:rsidRPr="00500F57">
        <w:t>likely</w:t>
      </w:r>
      <w:r w:rsidR="00CC2FA8" w:rsidRPr="00500F57">
        <w:t xml:space="preserve"> </w:t>
      </w:r>
      <w:r w:rsidR="00C25A52">
        <w:t xml:space="preserve">to </w:t>
      </w:r>
      <w:r w:rsidR="006C5510" w:rsidRPr="00500F57">
        <w:t>occur</w:t>
      </w:r>
      <w:r w:rsidR="000C36F8" w:rsidRPr="00500F57">
        <w:t xml:space="preserve"> </w:t>
      </w:r>
      <w:r w:rsidR="00CC2FA8" w:rsidRPr="00500F57">
        <w:t xml:space="preserve">somewhere else in the Victorian economy </w:t>
      </w:r>
      <w:r w:rsidR="00F75F23">
        <w:t>to pay for</w:t>
      </w:r>
      <w:r w:rsidR="00F75F23" w:rsidRPr="00500F57">
        <w:t xml:space="preserve"> </w:t>
      </w:r>
      <w:r w:rsidR="00CC2FA8" w:rsidRPr="00500F57">
        <w:t xml:space="preserve">other </w:t>
      </w:r>
      <w:r w:rsidR="000C36F8" w:rsidRPr="00500F57">
        <w:t>goods and services.</w:t>
      </w:r>
    </w:p>
    <w:p w:rsidR="00333350" w:rsidRPr="00500F57" w:rsidRDefault="00CC2FA8" w:rsidP="002F27A9">
      <w:r w:rsidRPr="00500F57">
        <w:t xml:space="preserve">The </w:t>
      </w:r>
      <w:r w:rsidR="00F75F23">
        <w:t xml:space="preserve">three </w:t>
      </w:r>
      <w:r w:rsidRPr="00500F57">
        <w:t>measures</w:t>
      </w:r>
      <w:r w:rsidR="000B6548" w:rsidRPr="00500F57">
        <w:t xml:space="preserve"> are stand</w:t>
      </w:r>
      <w:r w:rsidR="00C25A52">
        <w:t>-</w:t>
      </w:r>
      <w:r w:rsidR="000B6548" w:rsidRPr="00500F57">
        <w:t>alone measures of economic contribution</w:t>
      </w:r>
      <w:r w:rsidR="00333350" w:rsidRPr="00500F57">
        <w:t>:</w:t>
      </w:r>
    </w:p>
    <w:p w:rsidR="00ED09D8" w:rsidRPr="00E705D3" w:rsidRDefault="00ED09D8" w:rsidP="002F27A9">
      <w:pPr>
        <w:pStyle w:val="ListParagraph"/>
        <w:rPr>
          <w:b/>
        </w:rPr>
      </w:pPr>
      <w:r w:rsidRPr="00E705D3">
        <w:rPr>
          <w:b/>
        </w:rPr>
        <w:t>Expenditure</w:t>
      </w:r>
      <w:r w:rsidRPr="00500F57">
        <w:t xml:space="preserve"> is the value of the initial (direct) stimulus that is relevant to each industry</w:t>
      </w:r>
      <w:r w:rsidR="00C25A52">
        <w:t>. I</w:t>
      </w:r>
      <w:r w:rsidRPr="00500F57">
        <w:t xml:space="preserve">t is expenditure by </w:t>
      </w:r>
      <w:r w:rsidR="00C25A52">
        <w:t>g</w:t>
      </w:r>
      <w:r w:rsidRPr="00500F57">
        <w:t xml:space="preserve">overnments, businesses and individuals involved in </w:t>
      </w:r>
      <w:r w:rsidR="00E54D0A" w:rsidRPr="00500F57">
        <w:t>active recreation</w:t>
      </w:r>
      <w:r w:rsidR="006C5510" w:rsidRPr="00500F57">
        <w:t>.</w:t>
      </w:r>
    </w:p>
    <w:p w:rsidR="000B6548" w:rsidRPr="00500F57" w:rsidRDefault="0098449F" w:rsidP="002F27A9">
      <w:pPr>
        <w:pStyle w:val="ListParagraph"/>
      </w:pPr>
      <w:r w:rsidRPr="00E705D3">
        <w:rPr>
          <w:b/>
        </w:rPr>
        <w:t>Gross value</w:t>
      </w:r>
      <w:r w:rsidR="00F75F23" w:rsidRPr="00E705D3">
        <w:rPr>
          <w:b/>
        </w:rPr>
        <w:t xml:space="preserve"> </w:t>
      </w:r>
      <w:r w:rsidRPr="00E705D3">
        <w:rPr>
          <w:b/>
        </w:rPr>
        <w:t>added</w:t>
      </w:r>
      <w:r w:rsidR="000B6548" w:rsidRPr="00500F57">
        <w:t xml:space="preserve"> </w:t>
      </w:r>
      <w:r w:rsidR="003A0B46" w:rsidRPr="00500F57">
        <w:t xml:space="preserve">(GVA) </w:t>
      </w:r>
      <w:r w:rsidR="000B6548" w:rsidRPr="00500F57">
        <w:t xml:space="preserve">is a subset of </w:t>
      </w:r>
      <w:r w:rsidR="00C25A52">
        <w:t>g</w:t>
      </w:r>
      <w:r w:rsidRPr="00500F57">
        <w:t>ross economic output</w:t>
      </w:r>
      <w:r w:rsidR="000B6548" w:rsidRPr="00500F57">
        <w:t xml:space="preserve">. </w:t>
      </w:r>
      <w:r w:rsidRPr="00500F57">
        <w:t>G</w:t>
      </w:r>
      <w:r w:rsidR="00C25A52">
        <w:t>VA</w:t>
      </w:r>
      <w:r w:rsidR="000B6548" w:rsidRPr="00500F57">
        <w:t xml:space="preserve"> includes local business profits and wages paid, and therefore represents economic returns on local capital and labour resources.</w:t>
      </w:r>
      <w:r w:rsidR="00D72391" w:rsidRPr="00500F57">
        <w:t xml:space="preserve"> </w:t>
      </w:r>
      <w:r w:rsidR="00C25A52">
        <w:t>It</w:t>
      </w:r>
      <w:r w:rsidR="00D72391" w:rsidRPr="00500F57">
        <w:t xml:space="preserve"> measures </w:t>
      </w:r>
      <w:r w:rsidR="0053102B" w:rsidRPr="00500F57">
        <w:t xml:space="preserve">the </w:t>
      </w:r>
      <w:r w:rsidR="00D72391" w:rsidRPr="00500F57">
        <w:t xml:space="preserve">true contribution of </w:t>
      </w:r>
      <w:r w:rsidR="00E54D0A" w:rsidRPr="00500F57">
        <w:t>active recreation</w:t>
      </w:r>
      <w:r w:rsidR="00D72391" w:rsidRPr="00500F57">
        <w:t xml:space="preserve"> to </w:t>
      </w:r>
      <w:r w:rsidR="00E54D0A" w:rsidRPr="00500F57">
        <w:t>a regional</w:t>
      </w:r>
      <w:r w:rsidR="00D72391" w:rsidRPr="00500F57">
        <w:t xml:space="preserve"> economy</w:t>
      </w:r>
      <w:r w:rsidR="00ED09D8" w:rsidRPr="00500F57">
        <w:t>, because</w:t>
      </w:r>
      <w:r w:rsidR="00E54D0A" w:rsidRPr="00500F57">
        <w:t xml:space="preserve"> it </w:t>
      </w:r>
      <w:r w:rsidR="00E54D0A" w:rsidRPr="00176E83">
        <w:t>backs out leakage out of regional</w:t>
      </w:r>
      <w:r w:rsidR="00ED09D8" w:rsidRPr="00176E83">
        <w:t xml:space="preserve"> economy</w:t>
      </w:r>
      <w:r w:rsidR="006C5510" w:rsidRPr="00500F57">
        <w:t>.</w:t>
      </w:r>
      <w:r w:rsidR="003A0B46" w:rsidRPr="00500F57">
        <w:t xml:space="preserve"> In this report</w:t>
      </w:r>
      <w:r w:rsidR="00C25A52">
        <w:t>,</w:t>
      </w:r>
      <w:r w:rsidR="003A0B46" w:rsidRPr="00500F57">
        <w:t xml:space="preserve"> we report total GVA (direct plus indirect GVA) impacts.</w:t>
      </w:r>
    </w:p>
    <w:p w:rsidR="000B6548" w:rsidRPr="00500F57" w:rsidRDefault="000B6548" w:rsidP="002F27A9">
      <w:pPr>
        <w:pStyle w:val="ListParagraph"/>
      </w:pPr>
      <w:r w:rsidRPr="00E705D3">
        <w:rPr>
          <w:b/>
        </w:rPr>
        <w:t>Employment</w:t>
      </w:r>
      <w:r w:rsidRPr="00500F57">
        <w:t xml:space="preserve"> is the number of full</w:t>
      </w:r>
      <w:r w:rsidR="00B540A4">
        <w:t>-</w:t>
      </w:r>
      <w:r w:rsidRPr="00500F57">
        <w:t>time equivalent</w:t>
      </w:r>
      <w:r w:rsidR="001025F4" w:rsidRPr="00500F57">
        <w:t xml:space="preserve"> (FTE)</w:t>
      </w:r>
      <w:r w:rsidRPr="00500F57">
        <w:t xml:space="preserve"> jobs generated and/or s</w:t>
      </w:r>
      <w:r w:rsidR="00D72391" w:rsidRPr="00500F57">
        <w:t xml:space="preserve">upported in the creation of local </w:t>
      </w:r>
      <w:r w:rsidR="00B540A4">
        <w:t>g</w:t>
      </w:r>
      <w:r w:rsidR="0098449F" w:rsidRPr="00500F57">
        <w:t>ross economic output</w:t>
      </w:r>
      <w:r w:rsidR="00D72391" w:rsidRPr="00500F57">
        <w:t xml:space="preserve"> and</w:t>
      </w:r>
      <w:r w:rsidRPr="00500F57">
        <w:t xml:space="preserve"> </w:t>
      </w:r>
      <w:r w:rsidR="00B540A4">
        <w:t>GVA</w:t>
      </w:r>
      <w:r w:rsidRPr="00500F57">
        <w:t>.</w:t>
      </w:r>
      <w:r w:rsidR="00D55005" w:rsidRPr="00500F57">
        <w:t xml:space="preserve"> </w:t>
      </w:r>
      <w:r w:rsidR="003A0B46" w:rsidRPr="00500F57">
        <w:t>In this report</w:t>
      </w:r>
      <w:r w:rsidR="00B540A4">
        <w:t>,</w:t>
      </w:r>
      <w:r w:rsidR="003A0B46" w:rsidRPr="00500F57">
        <w:t xml:space="preserve"> we report total FTE (direct plus indirect FTE) impacts.</w:t>
      </w:r>
    </w:p>
    <w:p w:rsidR="00661CDE" w:rsidRPr="00500F57" w:rsidRDefault="00BF59B9" w:rsidP="002F27A9">
      <w:pPr>
        <w:pStyle w:val="Heading3"/>
        <w:ind w:left="0"/>
      </w:pPr>
      <w:r w:rsidRPr="00500F57">
        <w:t>Welfare contribution</w:t>
      </w:r>
    </w:p>
    <w:p w:rsidR="00D55005" w:rsidRPr="00500F57" w:rsidRDefault="00F1694C" w:rsidP="002F27A9">
      <w:r w:rsidRPr="00500F57">
        <w:t xml:space="preserve">The economic benefits of </w:t>
      </w:r>
      <w:r w:rsidR="00307165" w:rsidRPr="00500F57">
        <w:t>active recreation</w:t>
      </w:r>
      <w:r w:rsidRPr="00500F57">
        <w:t xml:space="preserve"> to Victoria extend well beyond gross and net economic contributions that are measured through </w:t>
      </w:r>
      <w:r w:rsidR="00793F96" w:rsidRPr="00500F57">
        <w:t>transactions</w:t>
      </w:r>
      <w:r w:rsidRPr="00500F57">
        <w:t xml:space="preserve"> in markets.</w:t>
      </w:r>
    </w:p>
    <w:p w:rsidR="00D55005" w:rsidRPr="00500F57" w:rsidRDefault="002328FD" w:rsidP="002F27A9">
      <w:r w:rsidRPr="00500F57">
        <w:t>Active recreation</w:t>
      </w:r>
      <w:r w:rsidR="00BF59B9" w:rsidRPr="00500F57">
        <w:t xml:space="preserve"> activity generates wellbeing</w:t>
      </w:r>
      <w:r w:rsidR="00E11A52" w:rsidRPr="00500F57">
        <w:t xml:space="preserve"> benefits for individuals and communities.</w:t>
      </w:r>
      <w:r w:rsidR="00D55005" w:rsidRPr="00500F57">
        <w:t xml:space="preserve"> </w:t>
      </w:r>
      <w:r w:rsidR="00BF59B9" w:rsidRPr="00500F57">
        <w:t xml:space="preserve">We call </w:t>
      </w:r>
      <w:r w:rsidR="00B540A4">
        <w:t>such</w:t>
      </w:r>
      <w:r w:rsidR="00B540A4" w:rsidRPr="00500F57">
        <w:t xml:space="preserve"> </w:t>
      </w:r>
      <w:r w:rsidR="00BF59B9" w:rsidRPr="00500F57">
        <w:t xml:space="preserve">benefits </w:t>
      </w:r>
      <w:r w:rsidR="00B540A4">
        <w:t>‘</w:t>
      </w:r>
      <w:r w:rsidR="00BF59B9" w:rsidRPr="00500F57">
        <w:t>welfare benefits</w:t>
      </w:r>
      <w:r w:rsidR="00B540A4">
        <w:t>’</w:t>
      </w:r>
      <w:r w:rsidR="00BF59B9" w:rsidRPr="00500F57">
        <w:t xml:space="preserve">. </w:t>
      </w:r>
      <w:r w:rsidR="00F1694C" w:rsidRPr="00500F57">
        <w:t>Th</w:t>
      </w:r>
      <w:r w:rsidR="00B540A4">
        <w:t>o</w:t>
      </w:r>
      <w:r w:rsidR="00F1694C" w:rsidRPr="00500F57">
        <w:t xml:space="preserve">se benefits can include better physical and mental health from physical activity, </w:t>
      </w:r>
      <w:r w:rsidR="00307165" w:rsidRPr="00500F57">
        <w:t xml:space="preserve">from spending time with friends, or from </w:t>
      </w:r>
      <w:r w:rsidR="00F1694C" w:rsidRPr="00500F57">
        <w:t xml:space="preserve">the value of environmental services provided by </w:t>
      </w:r>
      <w:r w:rsidR="00307165" w:rsidRPr="00500F57">
        <w:t xml:space="preserve">active </w:t>
      </w:r>
      <w:r w:rsidR="00F1694C" w:rsidRPr="00500F57">
        <w:t>recreation areas to non-</w:t>
      </w:r>
      <w:proofErr w:type="spellStart"/>
      <w:r w:rsidR="00F1694C" w:rsidRPr="00500F57">
        <w:t>recreators</w:t>
      </w:r>
      <w:proofErr w:type="spellEnd"/>
      <w:r w:rsidR="00F1694C" w:rsidRPr="00500F57">
        <w:t>.</w:t>
      </w:r>
      <w:r w:rsidR="00D55005" w:rsidRPr="00500F57">
        <w:t xml:space="preserve"> </w:t>
      </w:r>
      <w:r w:rsidR="00B540A4">
        <w:t>They</w:t>
      </w:r>
      <w:r w:rsidR="00B540A4" w:rsidRPr="00500F57">
        <w:t xml:space="preserve"> </w:t>
      </w:r>
      <w:r w:rsidR="00D91E21" w:rsidRPr="00500F57">
        <w:t xml:space="preserve">can also include </w:t>
      </w:r>
      <w:r w:rsidR="0020153A">
        <w:t xml:space="preserve">the </w:t>
      </w:r>
      <w:r w:rsidR="00D91E21" w:rsidRPr="00500F57">
        <w:t>individual and community</w:t>
      </w:r>
      <w:r w:rsidR="00160DAF" w:rsidRPr="00500F57">
        <w:t xml:space="preserve"> benefits </w:t>
      </w:r>
      <w:r w:rsidR="00D91E21" w:rsidRPr="00500F57">
        <w:t>of</w:t>
      </w:r>
      <w:r w:rsidR="00160DAF" w:rsidRPr="00500F57">
        <w:t xml:space="preserve"> volunteerism.</w:t>
      </w:r>
    </w:p>
    <w:p w:rsidR="00D55005" w:rsidRPr="00500F57" w:rsidRDefault="00B540A4" w:rsidP="002F27A9">
      <w:r>
        <w:t>W</w:t>
      </w:r>
      <w:r w:rsidR="00E11A52" w:rsidRPr="00500F57">
        <w:t>elfare</w:t>
      </w:r>
      <w:r w:rsidR="00F1694C" w:rsidRPr="00500F57">
        <w:t xml:space="preserve"> </w:t>
      </w:r>
      <w:r w:rsidR="00BF59B9" w:rsidRPr="00500F57">
        <w:t>benefit contributions</w:t>
      </w:r>
      <w:r w:rsidR="00E11A52" w:rsidRPr="00500F57">
        <w:t xml:space="preserve"> are significant</w:t>
      </w:r>
      <w:r w:rsidR="00BF59B9" w:rsidRPr="00500F57">
        <w:t xml:space="preserve"> in their own right</w:t>
      </w:r>
      <w:r w:rsidR="00E11A52" w:rsidRPr="00500F57">
        <w:t xml:space="preserve"> but often go unmeasured or, where they are measured, are sometimes viewed with scepticism</w:t>
      </w:r>
      <w:r w:rsidR="00F1694C" w:rsidRPr="00500F57">
        <w:t xml:space="preserve"> because </w:t>
      </w:r>
      <w:r w:rsidR="00D91E21" w:rsidRPr="00500F57">
        <w:t>the benefit values</w:t>
      </w:r>
      <w:r w:rsidR="00F1694C" w:rsidRPr="00500F57">
        <w:t xml:space="preserve"> are not </w:t>
      </w:r>
      <w:r w:rsidR="00D91E21" w:rsidRPr="00500F57">
        <w:t>measured</w:t>
      </w:r>
      <w:r w:rsidR="00F1694C" w:rsidRPr="00500F57">
        <w:t xml:space="preserve"> </w:t>
      </w:r>
      <w:r w:rsidR="00D91E21" w:rsidRPr="00500F57">
        <w:t>by</w:t>
      </w:r>
      <w:r w:rsidR="00F1694C" w:rsidRPr="00500F57">
        <w:t xml:space="preserve"> market transactions</w:t>
      </w:r>
      <w:r w:rsidR="00E11A52" w:rsidRPr="00500F57">
        <w:t>.</w:t>
      </w:r>
    </w:p>
    <w:p w:rsidR="00D55005" w:rsidRPr="00500F57" w:rsidRDefault="00B540A4" w:rsidP="002F27A9">
      <w:r>
        <w:t>Appendix</w:t>
      </w:r>
      <w:r w:rsidR="000E1092" w:rsidRPr="00500F57">
        <w:t xml:space="preserve"> </w:t>
      </w:r>
      <w:r w:rsidR="00307165" w:rsidRPr="00500F57">
        <w:t>C</w:t>
      </w:r>
      <w:r w:rsidR="00011C59" w:rsidRPr="00500F57">
        <w:t xml:space="preserve"> outlines the approaches we used to estimate the welfare </w:t>
      </w:r>
      <w:r w:rsidR="00D91E21" w:rsidRPr="00500F57">
        <w:t xml:space="preserve">benefit </w:t>
      </w:r>
      <w:r w:rsidR="00011C59" w:rsidRPr="00500F57">
        <w:t>values included in this study.</w:t>
      </w:r>
    </w:p>
    <w:p w:rsidR="008E7089" w:rsidRPr="00500F57" w:rsidRDefault="008E7089" w:rsidP="002F27A9">
      <w:bookmarkStart w:id="54" w:name="_Ref432011655"/>
      <w:r w:rsidRPr="00500F57">
        <w:t>We report three key measures of welfare</w:t>
      </w:r>
      <w:r w:rsidR="00D91E21" w:rsidRPr="00500F57">
        <w:t xml:space="preserve"> benefit</w:t>
      </w:r>
      <w:r w:rsidRPr="00500F57">
        <w:t xml:space="preserve"> contribution. Each of the three</w:t>
      </w:r>
      <w:r w:rsidR="00D91E21" w:rsidRPr="00500F57">
        <w:t xml:space="preserve"> benefit estimates</w:t>
      </w:r>
      <w:r w:rsidRPr="00500F57">
        <w:t xml:space="preserve"> provides a different measure of economic wel</w:t>
      </w:r>
      <w:r w:rsidR="00D91E21" w:rsidRPr="00500F57">
        <w:t>f</w:t>
      </w:r>
      <w:r w:rsidRPr="00500F57">
        <w:t>are</w:t>
      </w:r>
      <w:r w:rsidR="00D91E21" w:rsidRPr="00500F57">
        <w:t xml:space="preserve"> contribution</w:t>
      </w:r>
      <w:r w:rsidRPr="00500F57">
        <w:t>. Importantly, fo</w:t>
      </w:r>
      <w:r w:rsidR="00D91E21" w:rsidRPr="00500F57">
        <w:t xml:space="preserve">r reasons we discuss </w:t>
      </w:r>
      <w:r w:rsidR="00B540A4">
        <w:t>below</w:t>
      </w:r>
      <w:r w:rsidR="00D91E21" w:rsidRPr="00500F57">
        <w:t>, the welfare contribution values</w:t>
      </w:r>
      <w:r w:rsidRPr="00500F57">
        <w:t xml:space="preserve"> cannot be added together. The </w:t>
      </w:r>
      <w:r w:rsidR="0020153A">
        <w:t>three</w:t>
      </w:r>
      <w:r w:rsidRPr="00500F57">
        <w:t xml:space="preserve"> measures are</w:t>
      </w:r>
      <w:r w:rsidR="00B540A4">
        <w:t xml:space="preserve"> as follows</w:t>
      </w:r>
      <w:r w:rsidRPr="00500F57">
        <w:t>:</w:t>
      </w:r>
    </w:p>
    <w:p w:rsidR="008E7089" w:rsidRPr="00E705D3" w:rsidRDefault="00DD6DFE" w:rsidP="002F27A9">
      <w:pPr>
        <w:pStyle w:val="ListParagraph"/>
        <w:rPr>
          <w:b/>
        </w:rPr>
      </w:pPr>
      <w:r w:rsidRPr="00E705D3">
        <w:rPr>
          <w:b/>
        </w:rPr>
        <w:t>Benefits re</w:t>
      </w:r>
      <w:r w:rsidR="00AA4976" w:rsidRPr="00E705D3">
        <w:rPr>
          <w:b/>
        </w:rPr>
        <w:t>la</w:t>
      </w:r>
      <w:r w:rsidRPr="00E705D3">
        <w:rPr>
          <w:b/>
        </w:rPr>
        <w:t>ted to a</w:t>
      </w:r>
      <w:r w:rsidR="008E7089" w:rsidRPr="00E705D3">
        <w:rPr>
          <w:b/>
        </w:rPr>
        <w:t xml:space="preserve">voided healthcare </w:t>
      </w:r>
      <w:r w:rsidRPr="00E705D3">
        <w:rPr>
          <w:b/>
        </w:rPr>
        <w:t>costs</w:t>
      </w:r>
      <w:r w:rsidRPr="000F0AFD">
        <w:t xml:space="preserve"> </w:t>
      </w:r>
      <w:r w:rsidR="00B540A4" w:rsidRPr="000F0AFD">
        <w:t xml:space="preserve">are </w:t>
      </w:r>
      <w:r w:rsidR="008E7089" w:rsidRPr="00500F57">
        <w:t xml:space="preserve">measured as the net (adjusted for injury) avoided costs to the Victorian healthcare system attributable to </w:t>
      </w:r>
      <w:r w:rsidR="00627F97" w:rsidRPr="00500F57">
        <w:t>active recreation</w:t>
      </w:r>
      <w:r w:rsidR="00D91E21" w:rsidRPr="00500F57">
        <w:t>.</w:t>
      </w:r>
    </w:p>
    <w:p w:rsidR="00D55005" w:rsidRPr="00500F57" w:rsidRDefault="008E7089" w:rsidP="002F27A9">
      <w:pPr>
        <w:pStyle w:val="ListParagraph"/>
      </w:pPr>
      <w:r w:rsidRPr="00E705D3">
        <w:rPr>
          <w:b/>
        </w:rPr>
        <w:lastRenderedPageBreak/>
        <w:t>Production and productivity impacts</w:t>
      </w:r>
      <w:r w:rsidRPr="00500F57">
        <w:t xml:space="preserve"> </w:t>
      </w:r>
      <w:r w:rsidR="00B540A4">
        <w:t>quantify</w:t>
      </w:r>
      <w:r w:rsidRPr="00500F57">
        <w:t xml:space="preserve"> how physical (in)activity changes</w:t>
      </w:r>
      <w:r w:rsidR="00E25A84" w:rsidRPr="00500F57">
        <w:t xml:space="preserve"> labour producti</w:t>
      </w:r>
      <w:r w:rsidR="0020153A">
        <w:t>vity</w:t>
      </w:r>
      <w:r w:rsidRPr="00500F57">
        <w:t xml:space="preserve"> </w:t>
      </w:r>
      <w:r w:rsidR="00E25A84" w:rsidRPr="00500F57">
        <w:t>at work and at home</w:t>
      </w:r>
      <w:r w:rsidR="00B540A4">
        <w:t>. P</w:t>
      </w:r>
      <w:r w:rsidRPr="00500F57">
        <w:t xml:space="preserve">ositive changes in labour productivity contribute to </w:t>
      </w:r>
      <w:r w:rsidR="0098449F" w:rsidRPr="00500F57">
        <w:t>economic output</w:t>
      </w:r>
      <w:r w:rsidRPr="00500F57">
        <w:t>.</w:t>
      </w:r>
    </w:p>
    <w:p w:rsidR="00E25A84" w:rsidRPr="00E705D3" w:rsidRDefault="00E25A84" w:rsidP="002F27A9">
      <w:pPr>
        <w:pStyle w:val="ListParagraph"/>
        <w:rPr>
          <w:b/>
        </w:rPr>
      </w:pPr>
      <w:r w:rsidRPr="00E705D3">
        <w:rPr>
          <w:b/>
        </w:rPr>
        <w:t>Recreation benefits</w:t>
      </w:r>
      <w:r w:rsidR="00B540A4" w:rsidRPr="000F0AFD">
        <w:t xml:space="preserve"> accrue</w:t>
      </w:r>
      <w:r w:rsidRPr="000F0AFD">
        <w:t xml:space="preserve"> </w:t>
      </w:r>
      <w:r w:rsidRPr="00500F57">
        <w:t xml:space="preserve">in addition to </w:t>
      </w:r>
      <w:r w:rsidR="00B540A4">
        <w:t>the prices</w:t>
      </w:r>
      <w:r w:rsidR="00B540A4" w:rsidRPr="00500F57">
        <w:t xml:space="preserve"> </w:t>
      </w:r>
      <w:r w:rsidRPr="00500F57">
        <w:t xml:space="preserve">people pay for </w:t>
      </w:r>
      <w:r w:rsidR="005D6D50" w:rsidRPr="00500F57">
        <w:t xml:space="preserve">active recreation </w:t>
      </w:r>
      <w:r w:rsidRPr="00500F57">
        <w:t>activities</w:t>
      </w:r>
      <w:r w:rsidR="00B540A4">
        <w:t>; that is, people</w:t>
      </w:r>
      <w:r w:rsidRPr="00500F57">
        <w:t xml:space="preserve"> obtain benefits above those payments.</w:t>
      </w:r>
      <w:r w:rsidR="00D55005" w:rsidRPr="00500F57">
        <w:t xml:space="preserve"> </w:t>
      </w:r>
      <w:r w:rsidRPr="00500F57">
        <w:t xml:space="preserve">The difference between what consumers are willing to pay for </w:t>
      </w:r>
      <w:r w:rsidR="0053102B" w:rsidRPr="00500F57">
        <w:t xml:space="preserve">active </w:t>
      </w:r>
      <w:r w:rsidRPr="00500F57">
        <w:t>recreation and what they actually pay is a welfare benefit.</w:t>
      </w:r>
    </w:p>
    <w:p w:rsidR="009A20BB" w:rsidRDefault="00307165" w:rsidP="002F27A9">
      <w:r w:rsidRPr="00500F57">
        <w:t>For this project</w:t>
      </w:r>
      <w:r w:rsidR="00B540A4">
        <w:t>,</w:t>
      </w:r>
      <w:r w:rsidRPr="00500F57">
        <w:t xml:space="preserve"> we </w:t>
      </w:r>
      <w:r w:rsidR="0012669D" w:rsidRPr="00500F57">
        <w:t xml:space="preserve">worked with </w:t>
      </w:r>
      <w:r w:rsidRPr="00500F57">
        <w:t xml:space="preserve">Deakin Health Economics to </w:t>
      </w:r>
      <w:r w:rsidR="00B540A4">
        <w:t>evaluate</w:t>
      </w:r>
      <w:r w:rsidRPr="00500F57">
        <w:t xml:space="preserve"> the health status</w:t>
      </w:r>
      <w:r w:rsidR="00B540A4">
        <w:t xml:space="preserve"> and</w:t>
      </w:r>
      <w:r w:rsidRPr="00500F57">
        <w:t xml:space="preserve"> economic and financial burden associated with physical inactivity in the 2016 Victorian adult population.</w:t>
      </w:r>
      <w:r w:rsidR="00D55005" w:rsidRPr="00500F57">
        <w:t xml:space="preserve"> </w:t>
      </w:r>
      <w:r w:rsidRPr="00500F57">
        <w:t>This work extend</w:t>
      </w:r>
      <w:r w:rsidR="00B540A4">
        <w:t>ed</w:t>
      </w:r>
      <w:r w:rsidRPr="00500F57">
        <w:t xml:space="preserve"> and update</w:t>
      </w:r>
      <w:r w:rsidR="00B540A4">
        <w:t>d</w:t>
      </w:r>
      <w:r w:rsidRPr="00500F57">
        <w:t xml:space="preserve"> earlier work </w:t>
      </w:r>
      <w:r w:rsidR="00AA4976" w:rsidRPr="00500F57">
        <w:t xml:space="preserve">completed by </w:t>
      </w:r>
      <w:r w:rsidR="0012669D" w:rsidRPr="00500F57">
        <w:t xml:space="preserve">Deakin Health </w:t>
      </w:r>
      <w:r w:rsidR="00DD6DFE" w:rsidRPr="00500F57">
        <w:t xml:space="preserve">Economics </w:t>
      </w:r>
      <w:r w:rsidR="0012669D" w:rsidRPr="00500F57">
        <w:t xml:space="preserve">and </w:t>
      </w:r>
      <w:r w:rsidR="00B540A4">
        <w:t>its</w:t>
      </w:r>
      <w:r w:rsidR="00B540A4" w:rsidRPr="00500F57">
        <w:t xml:space="preserve"> </w:t>
      </w:r>
      <w:r w:rsidRPr="00500F57">
        <w:t xml:space="preserve">colleagues in 2009 to evaluate the health and economic benefits of reducing </w:t>
      </w:r>
      <w:r w:rsidR="0012669D" w:rsidRPr="00500F57">
        <w:t xml:space="preserve">a range of controllable </w:t>
      </w:r>
      <w:r w:rsidRPr="00500F57">
        <w:t>disease risk factors in the Victorian adult population</w:t>
      </w:r>
      <w:r w:rsidR="00B02D15">
        <w:t xml:space="preserve"> (</w:t>
      </w:r>
      <w:proofErr w:type="spellStart"/>
      <w:r w:rsidR="00B02D15">
        <w:t>Cadilhac</w:t>
      </w:r>
      <w:proofErr w:type="spellEnd"/>
      <w:r w:rsidR="00B02D15">
        <w:t> et </w:t>
      </w:r>
      <w:r w:rsidR="007719BC">
        <w:t>al., 2009)</w:t>
      </w:r>
      <w:r w:rsidRPr="00500F57">
        <w:t>.</w:t>
      </w:r>
    </w:p>
    <w:p w:rsidR="00711B89" w:rsidRPr="00500F57" w:rsidRDefault="00711B89" w:rsidP="00737DF6">
      <w:pPr>
        <w:pStyle w:val="Caption"/>
      </w:pPr>
      <w:bookmarkStart w:id="55" w:name="_Ref441741771"/>
      <w:bookmarkStart w:id="56" w:name="_Ref441741767"/>
      <w:r w:rsidRPr="00500F57">
        <w:t>Table</w:t>
      </w:r>
      <w:bookmarkEnd w:id="55"/>
      <w:r w:rsidR="005A7653">
        <w:t xml:space="preserve"> 3</w:t>
      </w:r>
      <w:r w:rsidRPr="00500F57">
        <w:t>:</w:t>
      </w:r>
      <w:r w:rsidR="00D55005" w:rsidRPr="00500F57">
        <w:t xml:space="preserve"> </w:t>
      </w:r>
      <w:r w:rsidRPr="00500F57">
        <w:t>Economic benefit values in scope</w:t>
      </w:r>
      <w:bookmarkEnd w:id="56"/>
    </w:p>
    <w:tbl>
      <w:tblPr>
        <w:tblW w:w="4727" w:type="pct"/>
        <w:tblInd w:w="108" w:type="dxa"/>
        <w:tblBorders>
          <w:top w:val="single" w:sz="4" w:space="0" w:color="A6A6A6"/>
          <w:bottom w:val="single" w:sz="4" w:space="0" w:color="A6A6A6"/>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06"/>
        <w:gridCol w:w="7597"/>
        <w:gridCol w:w="4077"/>
      </w:tblGrid>
      <w:tr w:rsidR="004E7708" w:rsidRPr="00F90D20" w:rsidTr="004E7708">
        <w:trPr>
          <w:tblHeader/>
        </w:trPr>
        <w:tc>
          <w:tcPr>
            <w:tcW w:w="825" w:type="pct"/>
            <w:tcBorders>
              <w:right w:val="nil"/>
            </w:tcBorders>
            <w:shd w:val="clear" w:color="auto" w:fill="auto"/>
            <w:vAlign w:val="bottom"/>
          </w:tcPr>
          <w:p w:rsidR="00711B89" w:rsidRPr="009F0FF4" w:rsidRDefault="00711B89" w:rsidP="002F27A9">
            <w:pPr>
              <w:pStyle w:val="Tablerow"/>
              <w:rPr>
                <w:b/>
              </w:rPr>
            </w:pPr>
            <w:r w:rsidRPr="009F0FF4">
              <w:rPr>
                <w:b/>
              </w:rPr>
              <w:t>Economic benefit value</w:t>
            </w:r>
          </w:p>
        </w:tc>
        <w:tc>
          <w:tcPr>
            <w:tcW w:w="2717" w:type="pct"/>
            <w:tcBorders>
              <w:top w:val="single" w:sz="4" w:space="0" w:color="A6A6A6"/>
              <w:left w:val="nil"/>
              <w:bottom w:val="single" w:sz="4" w:space="0" w:color="808080" w:themeColor="background1" w:themeShade="80"/>
              <w:right w:val="nil"/>
            </w:tcBorders>
            <w:shd w:val="clear" w:color="auto" w:fill="auto"/>
            <w:vAlign w:val="bottom"/>
          </w:tcPr>
          <w:p w:rsidR="00711B89" w:rsidRPr="009F0FF4" w:rsidRDefault="00711B89" w:rsidP="002F27A9">
            <w:pPr>
              <w:pStyle w:val="Tablerow"/>
              <w:rPr>
                <w:b/>
              </w:rPr>
            </w:pPr>
            <w:r w:rsidRPr="009F0FF4">
              <w:rPr>
                <w:b/>
              </w:rPr>
              <w:t>Scope</w:t>
            </w:r>
          </w:p>
        </w:tc>
        <w:tc>
          <w:tcPr>
            <w:tcW w:w="1458" w:type="pct"/>
            <w:tcBorders>
              <w:top w:val="single" w:sz="4" w:space="0" w:color="A6A6A6"/>
              <w:left w:val="nil"/>
              <w:bottom w:val="single" w:sz="4" w:space="0" w:color="808080" w:themeColor="background1" w:themeShade="80"/>
              <w:right w:val="nil"/>
            </w:tcBorders>
            <w:vAlign w:val="bottom"/>
          </w:tcPr>
          <w:p w:rsidR="00711B89" w:rsidRPr="009F0FF4" w:rsidRDefault="00711B89" w:rsidP="002F27A9">
            <w:pPr>
              <w:pStyle w:val="Tablerow"/>
              <w:rPr>
                <w:b/>
              </w:rPr>
            </w:pPr>
            <w:r w:rsidRPr="009F0FF4">
              <w:rPr>
                <w:b/>
              </w:rPr>
              <w:t>Relevant measures</w:t>
            </w:r>
          </w:p>
        </w:tc>
      </w:tr>
      <w:tr w:rsidR="004E7708" w:rsidRPr="00F90D20" w:rsidTr="004E7708">
        <w:trPr>
          <w:tblHeader/>
        </w:trPr>
        <w:tc>
          <w:tcPr>
            <w:tcW w:w="825" w:type="pct"/>
            <w:vMerge w:val="restart"/>
            <w:tcBorders>
              <w:right w:val="nil"/>
            </w:tcBorders>
            <w:shd w:val="clear" w:color="auto" w:fill="auto"/>
          </w:tcPr>
          <w:p w:rsidR="00711B89" w:rsidRPr="00F90D20" w:rsidRDefault="00711B89" w:rsidP="002F27A9">
            <w:pPr>
              <w:pStyle w:val="Tablerow"/>
            </w:pPr>
            <w:r w:rsidRPr="00F90D20">
              <w:t>Economic contribution</w:t>
            </w:r>
          </w:p>
        </w:tc>
        <w:tc>
          <w:tcPr>
            <w:tcW w:w="2717" w:type="pct"/>
            <w:tcBorders>
              <w:top w:val="single" w:sz="4" w:space="0" w:color="808080" w:themeColor="background1" w:themeShade="80"/>
              <w:left w:val="nil"/>
              <w:bottom w:val="single" w:sz="4" w:space="0" w:color="808080" w:themeColor="background1" w:themeShade="80"/>
              <w:right w:val="nil"/>
            </w:tcBorders>
            <w:shd w:val="clear" w:color="auto" w:fill="auto"/>
          </w:tcPr>
          <w:p w:rsidR="00711B89" w:rsidRPr="00F90D20" w:rsidRDefault="00711B89" w:rsidP="002F27A9">
            <w:pPr>
              <w:pStyle w:val="Tablerow"/>
            </w:pPr>
            <w:r w:rsidRPr="00F90D20">
              <w:rPr>
                <w:b/>
              </w:rPr>
              <w:t>Services and goods, non-tourism</w:t>
            </w:r>
            <w:r w:rsidRPr="00F90D20">
              <w:t xml:space="preserve">. </w:t>
            </w:r>
            <w:r w:rsidR="0020153A" w:rsidRPr="00F90D20">
              <w:t>E</w:t>
            </w:r>
            <w:r w:rsidRPr="00F90D20">
              <w:t>xpenditure by Victorians (i.e. money spent during active recreation by Victorians, plus money spent by Victorians on retail, wholesale, education and manufactur</w:t>
            </w:r>
            <w:r w:rsidR="00B540A4" w:rsidRPr="00F90D20">
              <w:t>ed</w:t>
            </w:r>
            <w:r w:rsidRPr="00F90D20">
              <w:t xml:space="preserve"> goods supporting the activities). </w:t>
            </w:r>
          </w:p>
        </w:tc>
        <w:tc>
          <w:tcPr>
            <w:tcW w:w="1458" w:type="pct"/>
            <w:tcBorders>
              <w:top w:val="single" w:sz="4" w:space="0" w:color="808080" w:themeColor="background1" w:themeShade="80"/>
              <w:left w:val="nil"/>
              <w:bottom w:val="single" w:sz="4" w:space="0" w:color="808080" w:themeColor="background1" w:themeShade="80"/>
              <w:right w:val="nil"/>
            </w:tcBorders>
          </w:tcPr>
          <w:p w:rsidR="00711B89" w:rsidRPr="00F90D20" w:rsidRDefault="00711B89" w:rsidP="002F27A9">
            <w:pPr>
              <w:pStyle w:val="Tablerow"/>
            </w:pPr>
            <w:r w:rsidRPr="00F90D20">
              <w:t xml:space="preserve">Expenditure, direct and indirect </w:t>
            </w:r>
            <w:r w:rsidR="00B540A4" w:rsidRPr="00F90D20">
              <w:t>GVA</w:t>
            </w:r>
            <w:r w:rsidR="00343AA2">
              <w:t xml:space="preserve"> and FTEs</w:t>
            </w:r>
          </w:p>
        </w:tc>
      </w:tr>
      <w:tr w:rsidR="004E7708" w:rsidRPr="00F90D20" w:rsidTr="004E7708">
        <w:trPr>
          <w:tblHeader/>
        </w:trPr>
        <w:tc>
          <w:tcPr>
            <w:tcW w:w="825" w:type="pct"/>
            <w:vMerge/>
            <w:tcBorders>
              <w:right w:val="nil"/>
            </w:tcBorders>
            <w:shd w:val="clear" w:color="auto" w:fill="auto"/>
          </w:tcPr>
          <w:p w:rsidR="00711B89" w:rsidRPr="00F90D20" w:rsidRDefault="00711B89" w:rsidP="002F27A9">
            <w:pPr>
              <w:pStyle w:val="Tablerow"/>
            </w:pPr>
          </w:p>
        </w:tc>
        <w:tc>
          <w:tcPr>
            <w:tcW w:w="2717" w:type="pct"/>
            <w:tcBorders>
              <w:top w:val="single" w:sz="4" w:space="0" w:color="808080" w:themeColor="background1" w:themeShade="80"/>
              <w:left w:val="nil"/>
              <w:bottom w:val="single" w:sz="4" w:space="0" w:color="808080" w:themeColor="background1" w:themeShade="80"/>
              <w:right w:val="nil"/>
            </w:tcBorders>
            <w:shd w:val="clear" w:color="auto" w:fill="auto"/>
          </w:tcPr>
          <w:p w:rsidR="00711B89" w:rsidRPr="00F90D20" w:rsidRDefault="00711B89" w:rsidP="002F27A9">
            <w:pPr>
              <w:pStyle w:val="Tablerow"/>
            </w:pPr>
            <w:r w:rsidRPr="00F90D20">
              <w:rPr>
                <w:b/>
              </w:rPr>
              <w:t>Services and goods, tourism.</w:t>
            </w:r>
            <w:r w:rsidRPr="00F90D20">
              <w:t xml:space="preserve"> Active recreation expenditure by non-Victorians (i.e. money spent during </w:t>
            </w:r>
            <w:r w:rsidR="005D6D50" w:rsidRPr="00F90D20">
              <w:t xml:space="preserve">active </w:t>
            </w:r>
            <w:r w:rsidRPr="00F90D20">
              <w:t>recreation by non-locals, plus money spent on retail, wholesale, education and manufactur</w:t>
            </w:r>
            <w:r w:rsidR="00B540A4" w:rsidRPr="00F90D20">
              <w:t>ed</w:t>
            </w:r>
            <w:r w:rsidRPr="00F90D20">
              <w:t xml:space="preserve"> goods supporting th</w:t>
            </w:r>
            <w:r w:rsidR="00B540A4" w:rsidRPr="00F90D20">
              <w:t>os</w:t>
            </w:r>
            <w:r w:rsidRPr="00F90D20">
              <w:t>e</w:t>
            </w:r>
            <w:r w:rsidR="00CC52B3" w:rsidRPr="00F90D20">
              <w:t xml:space="preserve"> activities</w:t>
            </w:r>
            <w:r w:rsidR="0020153A" w:rsidRPr="00F90D20">
              <w:t>)</w:t>
            </w:r>
            <w:r w:rsidRPr="00F90D20">
              <w:t>.</w:t>
            </w:r>
          </w:p>
        </w:tc>
        <w:tc>
          <w:tcPr>
            <w:tcW w:w="1458" w:type="pct"/>
            <w:tcBorders>
              <w:top w:val="single" w:sz="4" w:space="0" w:color="808080" w:themeColor="background1" w:themeShade="80"/>
              <w:left w:val="nil"/>
              <w:bottom w:val="single" w:sz="4" w:space="0" w:color="808080" w:themeColor="background1" w:themeShade="80"/>
              <w:right w:val="nil"/>
            </w:tcBorders>
          </w:tcPr>
          <w:p w:rsidR="00711B89" w:rsidRPr="00F90D20" w:rsidRDefault="00343AA2" w:rsidP="002F27A9">
            <w:pPr>
              <w:pStyle w:val="Tablerow"/>
            </w:pPr>
            <w:r w:rsidRPr="00F90D20">
              <w:t>Expenditure, direct and indirect GVA</w:t>
            </w:r>
            <w:r>
              <w:t xml:space="preserve"> and FTEs</w:t>
            </w:r>
          </w:p>
        </w:tc>
      </w:tr>
      <w:tr w:rsidR="004E7708" w:rsidRPr="00F90D20" w:rsidTr="004E7708">
        <w:trPr>
          <w:tblHeader/>
        </w:trPr>
        <w:tc>
          <w:tcPr>
            <w:tcW w:w="825" w:type="pct"/>
            <w:vMerge/>
            <w:tcBorders>
              <w:right w:val="nil"/>
            </w:tcBorders>
            <w:shd w:val="clear" w:color="auto" w:fill="auto"/>
          </w:tcPr>
          <w:p w:rsidR="00711B89" w:rsidRPr="00F90D20" w:rsidRDefault="00711B89" w:rsidP="002F27A9">
            <w:pPr>
              <w:pStyle w:val="Tablerow"/>
            </w:pPr>
          </w:p>
        </w:tc>
        <w:tc>
          <w:tcPr>
            <w:tcW w:w="2717" w:type="pct"/>
            <w:tcBorders>
              <w:top w:val="single" w:sz="4" w:space="0" w:color="808080" w:themeColor="background1" w:themeShade="80"/>
              <w:left w:val="nil"/>
              <w:bottom w:val="single" w:sz="4" w:space="0" w:color="808080" w:themeColor="background1" w:themeShade="80"/>
              <w:right w:val="nil"/>
            </w:tcBorders>
            <w:shd w:val="clear" w:color="auto" w:fill="auto"/>
          </w:tcPr>
          <w:p w:rsidR="00711B89" w:rsidRPr="00F90D20" w:rsidRDefault="00711B89" w:rsidP="002F27A9">
            <w:pPr>
              <w:pStyle w:val="Tablerow"/>
            </w:pPr>
            <w:r w:rsidRPr="00F90D20">
              <w:t xml:space="preserve">Economic impact of </w:t>
            </w:r>
            <w:r w:rsidRPr="00F90D20">
              <w:rPr>
                <w:b/>
              </w:rPr>
              <w:t>active recreation infrastructure</w:t>
            </w:r>
            <w:r w:rsidRPr="00F90D20">
              <w:t xml:space="preserve"> (capital and maintenance).</w:t>
            </w:r>
          </w:p>
        </w:tc>
        <w:tc>
          <w:tcPr>
            <w:tcW w:w="1458" w:type="pct"/>
            <w:tcBorders>
              <w:top w:val="single" w:sz="4" w:space="0" w:color="808080" w:themeColor="background1" w:themeShade="80"/>
              <w:left w:val="nil"/>
              <w:bottom w:val="single" w:sz="4" w:space="0" w:color="808080" w:themeColor="background1" w:themeShade="80"/>
              <w:right w:val="nil"/>
            </w:tcBorders>
          </w:tcPr>
          <w:p w:rsidR="00711B89" w:rsidRPr="00F90D20" w:rsidRDefault="00343AA2" w:rsidP="002F27A9">
            <w:pPr>
              <w:pStyle w:val="Tablerow"/>
            </w:pPr>
            <w:r w:rsidRPr="00F90D20">
              <w:t>Expenditure, direct and indirect GVA</w:t>
            </w:r>
            <w:r>
              <w:t xml:space="preserve"> and FTEs</w:t>
            </w:r>
          </w:p>
        </w:tc>
      </w:tr>
      <w:tr w:rsidR="004E7708" w:rsidRPr="00F90D20" w:rsidTr="004E7708">
        <w:trPr>
          <w:tblHeader/>
        </w:trPr>
        <w:tc>
          <w:tcPr>
            <w:tcW w:w="825" w:type="pct"/>
            <w:vMerge w:val="restart"/>
            <w:tcBorders>
              <w:right w:val="nil"/>
            </w:tcBorders>
            <w:shd w:val="clear" w:color="auto" w:fill="auto"/>
          </w:tcPr>
          <w:p w:rsidR="00711B89" w:rsidRPr="00F90D20" w:rsidRDefault="00711B89" w:rsidP="002F27A9">
            <w:pPr>
              <w:pStyle w:val="Tablerow"/>
            </w:pPr>
            <w:r w:rsidRPr="00F90D20">
              <w:t>Welfare contribution</w:t>
            </w:r>
          </w:p>
        </w:tc>
        <w:tc>
          <w:tcPr>
            <w:tcW w:w="2717" w:type="pct"/>
            <w:tcBorders>
              <w:top w:val="single" w:sz="4" w:space="0" w:color="808080" w:themeColor="background1" w:themeShade="80"/>
              <w:left w:val="nil"/>
              <w:bottom w:val="single" w:sz="4" w:space="0" w:color="808080" w:themeColor="background1" w:themeShade="80"/>
              <w:right w:val="nil"/>
            </w:tcBorders>
            <w:shd w:val="clear" w:color="auto" w:fill="auto"/>
          </w:tcPr>
          <w:p w:rsidR="00711B89" w:rsidRPr="00F90D20" w:rsidRDefault="00711B89" w:rsidP="002F27A9">
            <w:pPr>
              <w:pStyle w:val="Tablerow"/>
            </w:pPr>
            <w:r w:rsidRPr="00F90D20">
              <w:t>Individual welfare (aggregates as community welfare):</w:t>
            </w:r>
          </w:p>
          <w:p w:rsidR="00711B89" w:rsidRPr="00F90D20" w:rsidRDefault="00711B89" w:rsidP="009F0FF4">
            <w:pPr>
              <w:pStyle w:val="Tablerow"/>
              <w:numPr>
                <w:ilvl w:val="0"/>
                <w:numId w:val="27"/>
              </w:numPr>
            </w:pPr>
            <w:r w:rsidRPr="00F90D20">
              <w:t>Avoided health</w:t>
            </w:r>
            <w:r w:rsidR="00DD6DFE" w:rsidRPr="00F90D20">
              <w:t>care</w:t>
            </w:r>
            <w:r w:rsidRPr="00F90D20">
              <w:t xml:space="preserve"> costs </w:t>
            </w:r>
          </w:p>
        </w:tc>
        <w:tc>
          <w:tcPr>
            <w:tcW w:w="1458" w:type="pct"/>
            <w:tcBorders>
              <w:top w:val="single" w:sz="4" w:space="0" w:color="808080" w:themeColor="background1" w:themeShade="80"/>
              <w:left w:val="nil"/>
              <w:bottom w:val="single" w:sz="4" w:space="0" w:color="808080" w:themeColor="background1" w:themeShade="80"/>
              <w:right w:val="nil"/>
            </w:tcBorders>
          </w:tcPr>
          <w:p w:rsidR="00711B89" w:rsidRPr="00F90D20" w:rsidRDefault="00711B89" w:rsidP="002F27A9">
            <w:pPr>
              <w:pStyle w:val="Tablerow"/>
            </w:pPr>
            <w:r w:rsidRPr="00F90D20">
              <w:t xml:space="preserve">Avoided cost </w:t>
            </w:r>
          </w:p>
        </w:tc>
      </w:tr>
      <w:tr w:rsidR="004E7708" w:rsidRPr="00F90D20" w:rsidTr="004E7708">
        <w:trPr>
          <w:tblHeader/>
        </w:trPr>
        <w:tc>
          <w:tcPr>
            <w:tcW w:w="825" w:type="pct"/>
            <w:vMerge/>
            <w:tcBorders>
              <w:right w:val="nil"/>
            </w:tcBorders>
            <w:shd w:val="clear" w:color="auto" w:fill="auto"/>
          </w:tcPr>
          <w:p w:rsidR="00711B89" w:rsidRPr="00F90D20" w:rsidRDefault="00711B89" w:rsidP="002F27A9">
            <w:pPr>
              <w:pStyle w:val="Tablerow"/>
            </w:pPr>
          </w:p>
        </w:tc>
        <w:tc>
          <w:tcPr>
            <w:tcW w:w="2717" w:type="pct"/>
            <w:tcBorders>
              <w:top w:val="single" w:sz="4" w:space="0" w:color="808080" w:themeColor="background1" w:themeShade="80"/>
              <w:left w:val="nil"/>
              <w:bottom w:val="single" w:sz="4" w:space="0" w:color="808080" w:themeColor="background1" w:themeShade="80"/>
              <w:right w:val="nil"/>
            </w:tcBorders>
            <w:shd w:val="clear" w:color="auto" w:fill="auto"/>
          </w:tcPr>
          <w:p w:rsidR="00711B89" w:rsidRPr="00F90D20" w:rsidRDefault="00711B89" w:rsidP="009F0FF4">
            <w:pPr>
              <w:pStyle w:val="Tablerow"/>
              <w:numPr>
                <w:ilvl w:val="0"/>
                <w:numId w:val="26"/>
              </w:numPr>
            </w:pPr>
            <w:r w:rsidRPr="00F90D20">
              <w:t>Production and productivity from lower absenteeism at work and at home</w:t>
            </w:r>
          </w:p>
        </w:tc>
        <w:tc>
          <w:tcPr>
            <w:tcW w:w="1458" w:type="pct"/>
            <w:tcBorders>
              <w:top w:val="single" w:sz="4" w:space="0" w:color="808080" w:themeColor="background1" w:themeShade="80"/>
              <w:left w:val="nil"/>
              <w:bottom w:val="single" w:sz="4" w:space="0" w:color="808080" w:themeColor="background1" w:themeShade="80"/>
              <w:right w:val="nil"/>
            </w:tcBorders>
          </w:tcPr>
          <w:p w:rsidR="00711B89" w:rsidRPr="00F90D20" w:rsidRDefault="00711B89" w:rsidP="002F27A9">
            <w:pPr>
              <w:pStyle w:val="Tablerow"/>
            </w:pPr>
            <w:r w:rsidRPr="00F90D20">
              <w:t>Production benefit</w:t>
            </w:r>
          </w:p>
        </w:tc>
      </w:tr>
      <w:tr w:rsidR="004E7708" w:rsidRPr="00F90D20" w:rsidTr="004E7708">
        <w:trPr>
          <w:tblHeader/>
        </w:trPr>
        <w:tc>
          <w:tcPr>
            <w:tcW w:w="825" w:type="pct"/>
            <w:vMerge/>
            <w:tcBorders>
              <w:right w:val="nil"/>
            </w:tcBorders>
            <w:shd w:val="clear" w:color="auto" w:fill="auto"/>
          </w:tcPr>
          <w:p w:rsidR="00711B89" w:rsidRPr="00F90D20" w:rsidRDefault="00711B89" w:rsidP="002F27A9">
            <w:pPr>
              <w:pStyle w:val="Tablerow"/>
            </w:pPr>
          </w:p>
        </w:tc>
        <w:tc>
          <w:tcPr>
            <w:tcW w:w="2717" w:type="pct"/>
            <w:tcBorders>
              <w:top w:val="single" w:sz="4" w:space="0" w:color="808080" w:themeColor="background1" w:themeShade="80"/>
              <w:left w:val="nil"/>
              <w:bottom w:val="single" w:sz="4" w:space="0" w:color="808080" w:themeColor="background1" w:themeShade="80"/>
              <w:right w:val="nil"/>
            </w:tcBorders>
            <w:shd w:val="clear" w:color="auto" w:fill="auto"/>
          </w:tcPr>
          <w:p w:rsidR="00711B89" w:rsidRPr="00F90D20" w:rsidRDefault="00711B89" w:rsidP="009F0FF4">
            <w:pPr>
              <w:pStyle w:val="Tablerow"/>
              <w:numPr>
                <w:ilvl w:val="0"/>
                <w:numId w:val="26"/>
              </w:numPr>
            </w:pPr>
            <w:r w:rsidRPr="00F90D20">
              <w:t>Recr</w:t>
            </w:r>
            <w:r w:rsidR="00343AA2">
              <w:t>eation value (consumer surplus)</w:t>
            </w:r>
          </w:p>
        </w:tc>
        <w:tc>
          <w:tcPr>
            <w:tcW w:w="1458" w:type="pct"/>
            <w:tcBorders>
              <w:top w:val="single" w:sz="4" w:space="0" w:color="808080" w:themeColor="background1" w:themeShade="80"/>
              <w:left w:val="nil"/>
              <w:bottom w:val="single" w:sz="4" w:space="0" w:color="808080" w:themeColor="background1" w:themeShade="80"/>
              <w:right w:val="nil"/>
            </w:tcBorders>
          </w:tcPr>
          <w:p w:rsidR="00711B89" w:rsidRPr="00F90D20" w:rsidRDefault="00711B89" w:rsidP="002F27A9">
            <w:pPr>
              <w:pStyle w:val="Tablerow"/>
            </w:pPr>
            <w:r w:rsidRPr="00F90D20">
              <w:t xml:space="preserve">Consumer surplus </w:t>
            </w:r>
          </w:p>
        </w:tc>
      </w:tr>
      <w:tr w:rsidR="004E7708" w:rsidRPr="00F90D20" w:rsidTr="004E7708">
        <w:trPr>
          <w:tblHeader/>
        </w:trPr>
        <w:tc>
          <w:tcPr>
            <w:tcW w:w="825" w:type="pct"/>
            <w:vMerge/>
            <w:tcBorders>
              <w:right w:val="nil"/>
            </w:tcBorders>
            <w:shd w:val="clear" w:color="auto" w:fill="auto"/>
          </w:tcPr>
          <w:p w:rsidR="00711B89" w:rsidRPr="00F90D20" w:rsidRDefault="00711B89" w:rsidP="002F27A9">
            <w:pPr>
              <w:pStyle w:val="Tablerow"/>
            </w:pPr>
          </w:p>
        </w:tc>
        <w:tc>
          <w:tcPr>
            <w:tcW w:w="2717" w:type="pct"/>
            <w:tcBorders>
              <w:top w:val="single" w:sz="4" w:space="0" w:color="808080" w:themeColor="background1" w:themeShade="80"/>
              <w:left w:val="nil"/>
              <w:bottom w:val="single" w:sz="4" w:space="0" w:color="A6A6A6"/>
              <w:right w:val="nil"/>
            </w:tcBorders>
            <w:shd w:val="clear" w:color="auto" w:fill="auto"/>
          </w:tcPr>
          <w:p w:rsidR="00711B89" w:rsidRPr="00F90D20" w:rsidRDefault="00711B89" w:rsidP="009F0FF4">
            <w:pPr>
              <w:pStyle w:val="Tablerow"/>
              <w:numPr>
                <w:ilvl w:val="0"/>
                <w:numId w:val="26"/>
              </w:numPr>
            </w:pPr>
            <w:r w:rsidRPr="00F90D20">
              <w:t>Community and social cohesion and education impacts</w:t>
            </w:r>
          </w:p>
        </w:tc>
        <w:tc>
          <w:tcPr>
            <w:tcW w:w="1458" w:type="pct"/>
            <w:tcBorders>
              <w:top w:val="single" w:sz="4" w:space="0" w:color="808080" w:themeColor="background1" w:themeShade="80"/>
              <w:left w:val="nil"/>
              <w:bottom w:val="single" w:sz="4" w:space="0" w:color="A6A6A6"/>
              <w:right w:val="nil"/>
            </w:tcBorders>
          </w:tcPr>
          <w:p w:rsidR="00711B89" w:rsidRPr="00F90D20" w:rsidRDefault="00711B89" w:rsidP="002F27A9">
            <w:pPr>
              <w:pStyle w:val="Tablerow"/>
            </w:pPr>
            <w:r w:rsidRPr="00F90D20">
              <w:t>Not valued</w:t>
            </w:r>
          </w:p>
        </w:tc>
      </w:tr>
    </w:tbl>
    <w:p w:rsidR="0015554B" w:rsidRDefault="0015554B" w:rsidP="0015554B"/>
    <w:p w:rsidR="0015554B" w:rsidRDefault="0015554B">
      <w:pPr>
        <w:keepLines w:val="0"/>
        <w:spacing w:after="0" w:line="240" w:lineRule="auto"/>
        <w:rPr>
          <w:rFonts w:eastAsia="Lato Light"/>
          <w:color w:val="262626" w:themeColor="text1" w:themeTint="D9"/>
          <w:sz w:val="36"/>
          <w:szCs w:val="36"/>
        </w:rPr>
      </w:pPr>
      <w:r>
        <w:br w:type="page"/>
      </w:r>
    </w:p>
    <w:p w:rsidR="00711B89" w:rsidRPr="00500F57" w:rsidRDefault="00711B89" w:rsidP="002F27A9">
      <w:pPr>
        <w:pStyle w:val="Heading2"/>
      </w:pPr>
      <w:r w:rsidRPr="00500F57">
        <w:lastRenderedPageBreak/>
        <w:t>Information sources</w:t>
      </w:r>
    </w:p>
    <w:p w:rsidR="00711B89" w:rsidRPr="00500F57" w:rsidRDefault="00711B89" w:rsidP="00737DF6">
      <w:pPr>
        <w:pStyle w:val="Caption"/>
      </w:pPr>
      <w:r w:rsidRPr="00500F57">
        <w:t>Table</w:t>
      </w:r>
      <w:r w:rsidR="005A7653">
        <w:t xml:space="preserve"> 4</w:t>
      </w:r>
      <w:r w:rsidRPr="00500F57">
        <w:t>:</w:t>
      </w:r>
      <w:r w:rsidR="00D55005" w:rsidRPr="00500F57">
        <w:t xml:space="preserve"> </w:t>
      </w:r>
      <w:r w:rsidRPr="00500F57">
        <w:t>Key data sources</w:t>
      </w:r>
    </w:p>
    <w:tbl>
      <w:tblPr>
        <w:tblW w:w="4629" w:type="pct"/>
        <w:tblInd w:w="108" w:type="dxa"/>
        <w:tblBorders>
          <w:top w:val="single" w:sz="4" w:space="0" w:color="A6A6A6"/>
          <w:bottom w:val="single" w:sz="4" w:space="0" w:color="A6A6A6"/>
          <w:insideH w:val="single" w:sz="4" w:space="0" w:color="A6A6A6"/>
        </w:tblBorders>
        <w:tblLayout w:type="fixed"/>
        <w:tblLook w:val="04A0" w:firstRow="1" w:lastRow="0" w:firstColumn="1" w:lastColumn="0" w:noHBand="0" w:noVBand="1"/>
      </w:tblPr>
      <w:tblGrid>
        <w:gridCol w:w="5243"/>
        <w:gridCol w:w="8447"/>
      </w:tblGrid>
      <w:tr w:rsidR="00711B89" w:rsidRPr="00F90D20" w:rsidTr="004E7708">
        <w:trPr>
          <w:tblHeader/>
        </w:trPr>
        <w:tc>
          <w:tcPr>
            <w:tcW w:w="1915" w:type="pct"/>
          </w:tcPr>
          <w:p w:rsidR="00711B89" w:rsidRPr="009F0FF4" w:rsidRDefault="00CC52B3" w:rsidP="002F27A9">
            <w:pPr>
              <w:pStyle w:val="Tablerow"/>
              <w:rPr>
                <w:b/>
              </w:rPr>
            </w:pPr>
            <w:r w:rsidRPr="009F0FF4">
              <w:rPr>
                <w:b/>
              </w:rPr>
              <w:t>Data s</w:t>
            </w:r>
            <w:r w:rsidR="00711B89" w:rsidRPr="009F0FF4">
              <w:rPr>
                <w:b/>
              </w:rPr>
              <w:t>ources</w:t>
            </w:r>
          </w:p>
        </w:tc>
        <w:tc>
          <w:tcPr>
            <w:tcW w:w="3085" w:type="pct"/>
            <w:shd w:val="clear" w:color="auto" w:fill="auto"/>
          </w:tcPr>
          <w:p w:rsidR="00711B89" w:rsidRPr="009F0FF4" w:rsidRDefault="00711B89" w:rsidP="002F27A9">
            <w:pPr>
              <w:pStyle w:val="Tablerow"/>
              <w:rPr>
                <w:b/>
              </w:rPr>
            </w:pPr>
            <w:r w:rsidRPr="009F0FF4">
              <w:rPr>
                <w:b/>
              </w:rPr>
              <w:t>Comment</w:t>
            </w:r>
          </w:p>
        </w:tc>
      </w:tr>
      <w:tr w:rsidR="00711B89" w:rsidRPr="00F90D20" w:rsidTr="004E7708">
        <w:tc>
          <w:tcPr>
            <w:tcW w:w="1915" w:type="pct"/>
            <w:shd w:val="clear" w:color="auto" w:fill="auto"/>
          </w:tcPr>
          <w:p w:rsidR="00711B89" w:rsidRPr="00F90D20" w:rsidRDefault="0020153A" w:rsidP="002F27A9">
            <w:pPr>
              <w:pStyle w:val="Tablerow"/>
            </w:pPr>
            <w:r w:rsidRPr="00F90D20">
              <w:t xml:space="preserve">Australian Bureau of Statistics (ABS), </w:t>
            </w:r>
            <w:r w:rsidR="00711B89" w:rsidRPr="00F90D20">
              <w:rPr>
                <w:i/>
              </w:rPr>
              <w:t>Household Expenditure Survey, Australia, 200</w:t>
            </w:r>
            <w:r w:rsidR="00D55005" w:rsidRPr="00F90D20">
              <w:rPr>
                <w:i/>
              </w:rPr>
              <w:t>9–1</w:t>
            </w:r>
            <w:r w:rsidR="00711B89" w:rsidRPr="00F90D20">
              <w:rPr>
                <w:i/>
              </w:rPr>
              <w:t>0</w:t>
            </w:r>
            <w:r w:rsidRPr="00F90D20">
              <w:t>, cat. no. 6530.0</w:t>
            </w:r>
          </w:p>
        </w:tc>
        <w:tc>
          <w:tcPr>
            <w:tcW w:w="3085" w:type="pct"/>
            <w:shd w:val="clear" w:color="auto" w:fill="auto"/>
          </w:tcPr>
          <w:p w:rsidR="00711B89" w:rsidRPr="00F90D20" w:rsidRDefault="00711B89" w:rsidP="002F27A9">
            <w:pPr>
              <w:pStyle w:val="Tablerow"/>
            </w:pPr>
            <w:r w:rsidRPr="00F90D20">
              <w:t>Data on household expenditure</w:t>
            </w:r>
            <w:r w:rsidR="00CC52B3" w:rsidRPr="00F90D20">
              <w:t>,</w:t>
            </w:r>
            <w:r w:rsidRPr="00F90D20">
              <w:t xml:space="preserve"> including </w:t>
            </w:r>
            <w:r w:rsidR="00CC52B3" w:rsidRPr="00F90D20">
              <w:t>s</w:t>
            </w:r>
            <w:r w:rsidRPr="00F90D20">
              <w:t>tate and metropolitan.</w:t>
            </w:r>
          </w:p>
        </w:tc>
      </w:tr>
      <w:tr w:rsidR="00711B89" w:rsidRPr="00F90D20" w:rsidTr="004E7708">
        <w:tc>
          <w:tcPr>
            <w:tcW w:w="1915" w:type="pct"/>
            <w:shd w:val="clear" w:color="auto" w:fill="auto"/>
          </w:tcPr>
          <w:p w:rsidR="00711B89" w:rsidRPr="00F90D20" w:rsidRDefault="00711B89" w:rsidP="002F27A9">
            <w:pPr>
              <w:pStyle w:val="Tablerow"/>
            </w:pPr>
            <w:r w:rsidRPr="00F90D20">
              <w:t>Exercise, Recreation and Sport Survey (ERASS) 200</w:t>
            </w:r>
            <w:r w:rsidR="00D55005" w:rsidRPr="00F90D20">
              <w:t>7–1</w:t>
            </w:r>
            <w:r w:rsidRPr="00F90D20">
              <w:t>0</w:t>
            </w:r>
          </w:p>
        </w:tc>
        <w:tc>
          <w:tcPr>
            <w:tcW w:w="3085" w:type="pct"/>
            <w:shd w:val="clear" w:color="auto" w:fill="auto"/>
          </w:tcPr>
          <w:p w:rsidR="00711B89" w:rsidRPr="00F90D20" w:rsidRDefault="00711B89" w:rsidP="002F27A9">
            <w:pPr>
              <w:pStyle w:val="Tablerow"/>
            </w:pPr>
            <w:r w:rsidRPr="00F90D20">
              <w:t>Survey data on participation, session frequency and duration of exercise</w:t>
            </w:r>
            <w:r w:rsidR="00CC52B3" w:rsidRPr="00F90D20">
              <w:t>, c</w:t>
            </w:r>
            <w:r w:rsidRPr="00F90D20">
              <w:t xml:space="preserve">ategorised </w:t>
            </w:r>
            <w:r w:rsidR="002D626A" w:rsidRPr="00F90D20">
              <w:t xml:space="preserve">into </w:t>
            </w:r>
            <w:r w:rsidRPr="00F90D20">
              <w:t>168 activities</w:t>
            </w:r>
            <w:r w:rsidR="00CC52B3" w:rsidRPr="00F90D20">
              <w:t>.</w:t>
            </w:r>
          </w:p>
        </w:tc>
      </w:tr>
      <w:tr w:rsidR="00711B89" w:rsidRPr="00F90D20" w:rsidTr="004E7708">
        <w:tc>
          <w:tcPr>
            <w:tcW w:w="1915" w:type="pct"/>
            <w:shd w:val="clear" w:color="auto" w:fill="auto"/>
          </w:tcPr>
          <w:p w:rsidR="00711B89" w:rsidRPr="00F90D20" w:rsidRDefault="0020153A" w:rsidP="002F27A9">
            <w:pPr>
              <w:pStyle w:val="Tablerow"/>
            </w:pPr>
            <w:r w:rsidRPr="00F90D20">
              <w:t xml:space="preserve">ABS, </w:t>
            </w:r>
            <w:r w:rsidR="00711B89" w:rsidRPr="00F90D20">
              <w:t xml:space="preserve">Participation in </w:t>
            </w:r>
            <w:r w:rsidR="00CC52B3" w:rsidRPr="00F90D20">
              <w:t>sport and physical recreation</w:t>
            </w:r>
            <w:r w:rsidR="00711B89" w:rsidRPr="00F90D20">
              <w:t>, Australia, 200</w:t>
            </w:r>
            <w:r w:rsidR="00D55005" w:rsidRPr="00F90D20">
              <w:t>9–1</w:t>
            </w:r>
            <w:r w:rsidR="00711B89" w:rsidRPr="00F90D20">
              <w:t>4</w:t>
            </w:r>
            <w:r w:rsidRPr="00F90D20">
              <w:t>, cat. no. 4177.0</w:t>
            </w:r>
          </w:p>
        </w:tc>
        <w:tc>
          <w:tcPr>
            <w:tcW w:w="3085" w:type="pct"/>
            <w:shd w:val="clear" w:color="auto" w:fill="auto"/>
          </w:tcPr>
          <w:p w:rsidR="00711B89" w:rsidRPr="00F90D20" w:rsidRDefault="00711B89" w:rsidP="002F27A9">
            <w:pPr>
              <w:pStyle w:val="Tablerow"/>
            </w:pPr>
            <w:r w:rsidRPr="00F90D20">
              <w:t xml:space="preserve">Data provides total effort (duration, frequency) in </w:t>
            </w:r>
            <w:r w:rsidR="0053102B" w:rsidRPr="00F90D20">
              <w:t xml:space="preserve">active </w:t>
            </w:r>
            <w:r w:rsidRPr="00F90D20">
              <w:t>recreation.</w:t>
            </w:r>
            <w:r w:rsidR="00D55005" w:rsidRPr="00F90D20">
              <w:t xml:space="preserve"> </w:t>
            </w:r>
          </w:p>
        </w:tc>
      </w:tr>
      <w:tr w:rsidR="00711B89" w:rsidRPr="00F90D20" w:rsidTr="004E7708">
        <w:tc>
          <w:tcPr>
            <w:tcW w:w="1915" w:type="pct"/>
            <w:shd w:val="clear" w:color="auto" w:fill="auto"/>
          </w:tcPr>
          <w:p w:rsidR="00711B89" w:rsidRPr="00F90D20" w:rsidRDefault="00711B89" w:rsidP="002F27A9">
            <w:pPr>
              <w:pStyle w:val="Tablerow"/>
            </w:pPr>
            <w:r w:rsidRPr="00F90D20">
              <w:t>Tourism Research Australia National Visitor Survey, 200</w:t>
            </w:r>
            <w:r w:rsidR="00D55005" w:rsidRPr="00F90D20">
              <w:t>9–1</w:t>
            </w:r>
            <w:r w:rsidR="00E54BC8" w:rsidRPr="00F90D20">
              <w:t>6</w:t>
            </w:r>
          </w:p>
        </w:tc>
        <w:tc>
          <w:tcPr>
            <w:tcW w:w="3085" w:type="pct"/>
            <w:shd w:val="clear" w:color="auto" w:fill="auto"/>
          </w:tcPr>
          <w:p w:rsidR="00711B89" w:rsidRPr="00F90D20" w:rsidRDefault="00711B89" w:rsidP="002F27A9">
            <w:pPr>
              <w:pStyle w:val="Tablerow"/>
            </w:pPr>
            <w:r w:rsidRPr="00F90D20">
              <w:t>Provides activities by stopover for domestic trips, day and overnight. International activities at the Australia</w:t>
            </w:r>
            <w:r w:rsidR="00CC52B3" w:rsidRPr="00F90D20">
              <w:t xml:space="preserve"> </w:t>
            </w:r>
            <w:r w:rsidRPr="00F90D20">
              <w:t>/</w:t>
            </w:r>
            <w:r w:rsidR="00CC52B3" w:rsidRPr="00F90D20">
              <w:t xml:space="preserve"> </w:t>
            </w:r>
            <w:r w:rsidRPr="00F90D20">
              <w:t xml:space="preserve">total trip level only. Includes </w:t>
            </w:r>
            <w:r w:rsidR="002D626A" w:rsidRPr="00F90D20">
              <w:t xml:space="preserve">only </w:t>
            </w:r>
            <w:r w:rsidRPr="00F90D20">
              <w:t>visitors aged over 1</w:t>
            </w:r>
            <w:r w:rsidR="00D55005" w:rsidRPr="00F90D20">
              <w:t>5 y</w:t>
            </w:r>
            <w:r w:rsidRPr="00F90D20">
              <w:t>ears.</w:t>
            </w:r>
          </w:p>
        </w:tc>
      </w:tr>
      <w:tr w:rsidR="00711B89" w:rsidRPr="00F90D20" w:rsidTr="004E7708">
        <w:tc>
          <w:tcPr>
            <w:tcW w:w="1915" w:type="pct"/>
            <w:shd w:val="clear" w:color="auto" w:fill="auto"/>
          </w:tcPr>
          <w:p w:rsidR="00711B89" w:rsidRPr="00F90D20" w:rsidRDefault="0020153A" w:rsidP="002F27A9">
            <w:pPr>
              <w:pStyle w:val="Tablerow"/>
            </w:pPr>
            <w:r w:rsidRPr="00F90D20">
              <w:t xml:space="preserve">ABS, </w:t>
            </w:r>
            <w:r w:rsidR="00711B89" w:rsidRPr="00F90D20">
              <w:t xml:space="preserve">Value of </w:t>
            </w:r>
            <w:r w:rsidR="00CC52B3" w:rsidRPr="00F90D20">
              <w:t>sport</w:t>
            </w:r>
            <w:r w:rsidR="00711B89" w:rsidRPr="00F90D20">
              <w:t>, Australia, 2013</w:t>
            </w:r>
            <w:r w:rsidRPr="00F90D20">
              <w:t>, cat. no. 4156.0.55.002</w:t>
            </w:r>
          </w:p>
        </w:tc>
        <w:tc>
          <w:tcPr>
            <w:tcW w:w="3085" w:type="pct"/>
            <w:shd w:val="clear" w:color="auto" w:fill="auto"/>
          </w:tcPr>
          <w:p w:rsidR="00711B89" w:rsidRPr="00F90D20" w:rsidRDefault="00711B89" w:rsidP="002F27A9">
            <w:pPr>
              <w:pStyle w:val="Tablerow"/>
            </w:pPr>
            <w:r w:rsidRPr="00F90D20">
              <w:t>Includes expenditure per household per week (200</w:t>
            </w:r>
            <w:r w:rsidR="00D55005" w:rsidRPr="00F90D20">
              <w:t>9–1</w:t>
            </w:r>
            <w:r w:rsidRPr="00F90D20">
              <w:t>0) on selected sport and physical recreation products:</w:t>
            </w:r>
            <w:r w:rsidR="00D55005" w:rsidRPr="00F90D20">
              <w:t xml:space="preserve"> </w:t>
            </w:r>
            <w:r w:rsidRPr="00F90D20">
              <w:t>bicycles, boating and accessories ($2.30 per week)</w:t>
            </w:r>
            <w:r w:rsidR="00C63B05" w:rsidRPr="00F90D20">
              <w:t>;</w:t>
            </w:r>
            <w:r w:rsidRPr="00F90D20">
              <w:t xml:space="preserve"> camping equipment ($0.70)</w:t>
            </w:r>
            <w:r w:rsidR="00C63B05" w:rsidRPr="00F90D20">
              <w:t>;</w:t>
            </w:r>
            <w:r w:rsidRPr="00F90D20">
              <w:t xml:space="preserve"> fishing equipment ($0.55)</w:t>
            </w:r>
            <w:r w:rsidR="00C63B05" w:rsidRPr="00F90D20">
              <w:t>;</w:t>
            </w:r>
            <w:r w:rsidR="00D55005" w:rsidRPr="00F90D20">
              <w:t xml:space="preserve"> </w:t>
            </w:r>
            <w:r w:rsidRPr="00F90D20">
              <w:t>golf equipment ($0.45)</w:t>
            </w:r>
            <w:r w:rsidR="00CC52B3" w:rsidRPr="00F90D20">
              <w:t>.</w:t>
            </w:r>
          </w:p>
        </w:tc>
      </w:tr>
      <w:tr w:rsidR="00711B89" w:rsidRPr="00F90D20" w:rsidTr="004E7708">
        <w:tc>
          <w:tcPr>
            <w:tcW w:w="1915" w:type="pct"/>
          </w:tcPr>
          <w:p w:rsidR="00711B89" w:rsidRPr="00F90D20" w:rsidRDefault="00711B89" w:rsidP="002F27A9">
            <w:pPr>
              <w:pStyle w:val="Tablerow"/>
            </w:pPr>
            <w:r w:rsidRPr="00F90D20">
              <w:t>IBISWorld Australian Market industry reports</w:t>
            </w:r>
          </w:p>
        </w:tc>
        <w:tc>
          <w:tcPr>
            <w:tcW w:w="3085" w:type="pct"/>
            <w:shd w:val="clear" w:color="auto" w:fill="auto"/>
          </w:tcPr>
          <w:p w:rsidR="00711B89" w:rsidRPr="00F90D20" w:rsidRDefault="00711B89" w:rsidP="002F27A9">
            <w:pPr>
              <w:pStyle w:val="Tablerow"/>
            </w:pPr>
            <w:r w:rsidRPr="00F90D20">
              <w:t xml:space="preserve">Industry sector data for </w:t>
            </w:r>
            <w:r w:rsidR="00CC52B3" w:rsidRPr="00F90D20">
              <w:t>bicycle retailing and repair, sports and recreation facilities, marine equipment retailing, hiking and outdoor equipment stores.</w:t>
            </w:r>
          </w:p>
        </w:tc>
      </w:tr>
      <w:tr w:rsidR="00711B89" w:rsidRPr="00F90D20" w:rsidTr="004E7708">
        <w:trPr>
          <w:trHeight w:val="67"/>
        </w:trPr>
        <w:tc>
          <w:tcPr>
            <w:tcW w:w="1915" w:type="pct"/>
          </w:tcPr>
          <w:p w:rsidR="00711B89" w:rsidRPr="00F90D20" w:rsidRDefault="00711B89" w:rsidP="002F27A9">
            <w:pPr>
              <w:pStyle w:val="Tablerow"/>
            </w:pPr>
            <w:r w:rsidRPr="00F90D20">
              <w:t>Sector</w:t>
            </w:r>
            <w:r w:rsidR="00CC52B3" w:rsidRPr="00F90D20">
              <w:t>-</w:t>
            </w:r>
            <w:r w:rsidRPr="00F90D20">
              <w:t xml:space="preserve">specific studies </w:t>
            </w:r>
          </w:p>
        </w:tc>
        <w:tc>
          <w:tcPr>
            <w:tcW w:w="3085" w:type="pct"/>
            <w:shd w:val="clear" w:color="auto" w:fill="auto"/>
          </w:tcPr>
          <w:p w:rsidR="00711B89" w:rsidRPr="00F90D20" w:rsidRDefault="00CC52B3" w:rsidP="002F27A9">
            <w:pPr>
              <w:pStyle w:val="Tablerow"/>
            </w:pPr>
            <w:r w:rsidRPr="00F90D20">
              <w:t>D</w:t>
            </w:r>
            <w:r w:rsidR="00711B89" w:rsidRPr="00F90D20">
              <w:t>ata and findings from studies for specific Victorian active recreation activities.</w:t>
            </w:r>
            <w:r w:rsidR="00D55005" w:rsidRPr="00F90D20">
              <w:t xml:space="preserve"> </w:t>
            </w:r>
            <w:r w:rsidR="00711B89" w:rsidRPr="00F90D20">
              <w:t>The studies use a range of approaches to measure economic impacts and welfare values.</w:t>
            </w:r>
          </w:p>
        </w:tc>
      </w:tr>
      <w:tr w:rsidR="00F726BF" w:rsidRPr="00F90D20" w:rsidTr="004E7708">
        <w:trPr>
          <w:trHeight w:val="67"/>
        </w:trPr>
        <w:tc>
          <w:tcPr>
            <w:tcW w:w="1915" w:type="pct"/>
          </w:tcPr>
          <w:p w:rsidR="00F726BF" w:rsidRPr="00F90D20" w:rsidRDefault="00F726BF" w:rsidP="002F27A9">
            <w:pPr>
              <w:pStyle w:val="Tablerow"/>
            </w:pPr>
            <w:r w:rsidRPr="00F90D20">
              <w:t>Deakin Health Economics</w:t>
            </w:r>
          </w:p>
        </w:tc>
        <w:tc>
          <w:tcPr>
            <w:tcW w:w="3085" w:type="pct"/>
            <w:shd w:val="clear" w:color="auto" w:fill="auto"/>
          </w:tcPr>
          <w:p w:rsidR="00F726BF" w:rsidRPr="00F90D20" w:rsidRDefault="00F726BF" w:rsidP="002F27A9">
            <w:pPr>
              <w:pStyle w:val="Tablerow"/>
            </w:pPr>
            <w:r w:rsidRPr="00F90D20">
              <w:t>Measur</w:t>
            </w:r>
            <w:r w:rsidR="00CC52B3" w:rsidRPr="00F90D20">
              <w:t>ed</w:t>
            </w:r>
            <w:r w:rsidRPr="00F90D20">
              <w:t xml:space="preserve"> economic benefits of reducing physical inactivity in Victoria.</w:t>
            </w:r>
          </w:p>
        </w:tc>
      </w:tr>
    </w:tbl>
    <w:p w:rsidR="004E7708" w:rsidRDefault="004E7708" w:rsidP="00737DF6">
      <w:pPr>
        <w:pStyle w:val="Caption"/>
        <w:sectPr w:rsidR="004E7708" w:rsidSect="000F6BAD">
          <w:type w:val="continuous"/>
          <w:pgSz w:w="16839" w:h="11907" w:orient="landscape" w:code="9"/>
          <w:pgMar w:top="1134" w:right="1134" w:bottom="709" w:left="1134" w:header="885" w:footer="32" w:gutter="0"/>
          <w:cols w:space="609"/>
          <w:docGrid w:linePitch="245"/>
        </w:sectPr>
      </w:pPr>
      <w:bookmarkStart w:id="57" w:name="_Ref441741750"/>
      <w:bookmarkStart w:id="58" w:name="_Toc477964691"/>
      <w:bookmarkStart w:id="59" w:name="_Ref418254514"/>
      <w:bookmarkEnd w:id="54"/>
    </w:p>
    <w:p w:rsidR="002524A8" w:rsidRPr="00500F57" w:rsidRDefault="002524A8" w:rsidP="00E20E7D">
      <w:pPr>
        <w:pStyle w:val="Caption"/>
      </w:pPr>
      <w:r w:rsidRPr="00500F57">
        <w:lastRenderedPageBreak/>
        <w:t>Figure</w:t>
      </w:r>
      <w:bookmarkEnd w:id="57"/>
      <w:r w:rsidR="009779D7">
        <w:t xml:space="preserve"> 2</w:t>
      </w:r>
      <w:r w:rsidRPr="00500F57">
        <w:t>: Economic and welfare contribution</w:t>
      </w:r>
      <w:r>
        <w:t>s</w:t>
      </w:r>
      <w:r w:rsidRPr="00500F57">
        <w:t xml:space="preserve"> of active recreation to Victoria</w:t>
      </w:r>
    </w:p>
    <w:p w:rsidR="00074D44" w:rsidRDefault="00672739" w:rsidP="00737DF6">
      <w:pPr>
        <w:pStyle w:val="Caption"/>
      </w:pPr>
      <w:r>
        <w:drawing>
          <wp:inline distT="0" distB="0" distL="0" distR="0">
            <wp:extent cx="8858250" cy="5524500"/>
            <wp:effectExtent l="0" t="0" r="0" b="0"/>
            <wp:docPr id="4" name="Picture 4" descr="Refer to Figure Description section at the end of this document." title="Economic and welfare contributions of active recreation to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0" cy="5524500"/>
                    </a:xfrm>
                    <a:prstGeom prst="rect">
                      <a:avLst/>
                    </a:prstGeom>
                    <a:noFill/>
                    <a:ln>
                      <a:noFill/>
                    </a:ln>
                  </pic:spPr>
                </pic:pic>
              </a:graphicData>
            </a:graphic>
          </wp:inline>
        </w:drawing>
      </w:r>
    </w:p>
    <w:p w:rsidR="000E1092" w:rsidRPr="00500F57" w:rsidRDefault="000E1092" w:rsidP="002F27A9">
      <w:pPr>
        <w:pStyle w:val="Heading1"/>
      </w:pPr>
      <w:bookmarkStart w:id="60" w:name="_Toc516050179"/>
      <w:r w:rsidRPr="00500F57">
        <w:lastRenderedPageBreak/>
        <w:t>Headline estimates</w:t>
      </w:r>
      <w:bookmarkEnd w:id="58"/>
      <w:bookmarkEnd w:id="60"/>
    </w:p>
    <w:p w:rsidR="00D55005" w:rsidRPr="009F0FF4" w:rsidRDefault="000E1092" w:rsidP="002F27A9">
      <w:pPr>
        <w:rPr>
          <w:rStyle w:val="Emphasis"/>
        </w:rPr>
      </w:pPr>
      <w:r w:rsidRPr="009F0FF4">
        <w:rPr>
          <w:rStyle w:val="Emphasis"/>
        </w:rPr>
        <w:t xml:space="preserve">We estimate that </w:t>
      </w:r>
      <w:r w:rsidR="00BE67B1" w:rsidRPr="009F0FF4">
        <w:rPr>
          <w:rStyle w:val="Emphasis"/>
        </w:rPr>
        <w:t>Victorians</w:t>
      </w:r>
      <w:r w:rsidRPr="009F0FF4">
        <w:rPr>
          <w:rStyle w:val="Emphasis"/>
        </w:rPr>
        <w:t xml:space="preserve"> and visitor</w:t>
      </w:r>
      <w:r w:rsidR="00BE67B1" w:rsidRPr="009F0FF4">
        <w:rPr>
          <w:rStyle w:val="Emphasis"/>
        </w:rPr>
        <w:t>s age</w:t>
      </w:r>
      <w:r w:rsidR="001344E2" w:rsidRPr="009F0FF4">
        <w:rPr>
          <w:rStyle w:val="Emphasis"/>
        </w:rPr>
        <w:t>d</w:t>
      </w:r>
      <w:r w:rsidR="00BE67B1" w:rsidRPr="009F0FF4">
        <w:rPr>
          <w:rStyle w:val="Emphasis"/>
        </w:rPr>
        <w:t xml:space="preserve"> 15+</w:t>
      </w:r>
      <w:r w:rsidRPr="009F0FF4">
        <w:rPr>
          <w:rStyle w:val="Emphasis"/>
        </w:rPr>
        <w:t xml:space="preserve"> </w:t>
      </w:r>
      <w:r w:rsidR="00F573C7" w:rsidRPr="009F0FF4">
        <w:rPr>
          <w:rStyle w:val="Emphasis"/>
        </w:rPr>
        <w:t xml:space="preserve">did around </w:t>
      </w:r>
      <w:r w:rsidR="00E54BC8" w:rsidRPr="009F0FF4">
        <w:rPr>
          <w:rStyle w:val="Emphasis"/>
        </w:rPr>
        <w:t>612 </w:t>
      </w:r>
      <w:r w:rsidR="00D55005" w:rsidRPr="009F0FF4">
        <w:rPr>
          <w:rStyle w:val="Emphasis"/>
        </w:rPr>
        <w:t>m</w:t>
      </w:r>
      <w:r w:rsidR="00BE67B1" w:rsidRPr="009F0FF4">
        <w:rPr>
          <w:rStyle w:val="Emphasis"/>
        </w:rPr>
        <w:t>illion</w:t>
      </w:r>
      <w:r w:rsidR="00A00D1F" w:rsidRPr="009F0FF4">
        <w:rPr>
          <w:rStyle w:val="Emphasis"/>
        </w:rPr>
        <w:t xml:space="preserve"> hours</w:t>
      </w:r>
      <w:r w:rsidR="00BE67B1" w:rsidRPr="009F0FF4">
        <w:rPr>
          <w:rStyle w:val="Emphasis"/>
        </w:rPr>
        <w:t xml:space="preserve"> of active recreation</w:t>
      </w:r>
      <w:r w:rsidR="00A00D1F" w:rsidRPr="009F0FF4">
        <w:rPr>
          <w:rStyle w:val="Emphasis"/>
        </w:rPr>
        <w:t xml:space="preserve"> in </w:t>
      </w:r>
      <w:r w:rsidR="00BE67B1" w:rsidRPr="009F0FF4">
        <w:rPr>
          <w:rStyle w:val="Emphasis"/>
        </w:rPr>
        <w:t xml:space="preserve">Victoria </w:t>
      </w:r>
      <w:r w:rsidR="0053102B" w:rsidRPr="009F0FF4">
        <w:rPr>
          <w:rStyle w:val="Emphasis"/>
        </w:rPr>
        <w:t xml:space="preserve">in </w:t>
      </w:r>
      <w:r w:rsidR="00E54BC8" w:rsidRPr="009F0FF4">
        <w:rPr>
          <w:rStyle w:val="Emphasis"/>
        </w:rPr>
        <w:t>2017</w:t>
      </w:r>
      <w:r w:rsidR="00BE67B1" w:rsidRPr="009F0FF4">
        <w:rPr>
          <w:rStyle w:val="Emphasis"/>
        </w:rPr>
        <w:t xml:space="preserve">, </w:t>
      </w:r>
      <w:r w:rsidR="006712EB" w:rsidRPr="009F0FF4">
        <w:rPr>
          <w:rStyle w:val="Emphasis"/>
        </w:rPr>
        <w:t xml:space="preserve">or </w:t>
      </w:r>
      <w:r w:rsidR="00BE67B1" w:rsidRPr="009F0FF4">
        <w:rPr>
          <w:rStyle w:val="Emphasis"/>
        </w:rPr>
        <w:t xml:space="preserve">around </w:t>
      </w:r>
      <w:r w:rsidR="00F648B9" w:rsidRPr="009F0FF4">
        <w:rPr>
          <w:rStyle w:val="Emphasis"/>
        </w:rPr>
        <w:t>15</w:t>
      </w:r>
      <w:r w:rsidR="00D55005" w:rsidRPr="009F0FF4">
        <w:rPr>
          <w:rStyle w:val="Emphasis"/>
        </w:rPr>
        <w:t>6 h</w:t>
      </w:r>
      <w:r w:rsidR="00581526" w:rsidRPr="009F0FF4">
        <w:rPr>
          <w:rStyle w:val="Emphasis"/>
        </w:rPr>
        <w:t xml:space="preserve">ours on average by each physically </w:t>
      </w:r>
      <w:r w:rsidR="006712EB" w:rsidRPr="009F0FF4">
        <w:rPr>
          <w:rStyle w:val="Emphasis"/>
        </w:rPr>
        <w:t>active adult</w:t>
      </w:r>
      <w:r w:rsidR="00A00D1F" w:rsidRPr="009F0FF4">
        <w:rPr>
          <w:rStyle w:val="Emphasis"/>
        </w:rPr>
        <w:t>. At</w:t>
      </w:r>
      <w:r w:rsidR="00E44D36" w:rsidRPr="009F0FF4">
        <w:rPr>
          <w:rStyle w:val="Emphasis"/>
        </w:rPr>
        <w:t xml:space="preserve"> least </w:t>
      </w:r>
      <w:r w:rsidRPr="009F0FF4">
        <w:rPr>
          <w:rStyle w:val="Emphasis"/>
        </w:rPr>
        <w:t>$</w:t>
      </w:r>
      <w:r w:rsidR="00D55005" w:rsidRPr="009F0FF4">
        <w:rPr>
          <w:rStyle w:val="Emphasis"/>
        </w:rPr>
        <w:t>8 b</w:t>
      </w:r>
      <w:r w:rsidRPr="009F0FF4">
        <w:rPr>
          <w:rStyle w:val="Emphasis"/>
        </w:rPr>
        <w:t xml:space="preserve">illion </w:t>
      </w:r>
      <w:r w:rsidR="00581526" w:rsidRPr="009F0FF4">
        <w:rPr>
          <w:rStyle w:val="Emphasis"/>
        </w:rPr>
        <w:t xml:space="preserve">is spent </w:t>
      </w:r>
      <w:r w:rsidRPr="009F0FF4">
        <w:rPr>
          <w:rStyle w:val="Emphasis"/>
        </w:rPr>
        <w:t xml:space="preserve">each year on </w:t>
      </w:r>
      <w:r w:rsidR="00307165" w:rsidRPr="009F0FF4">
        <w:rPr>
          <w:rStyle w:val="Emphasis"/>
        </w:rPr>
        <w:t>active recreation</w:t>
      </w:r>
      <w:r w:rsidR="00017EBB" w:rsidRPr="009F0FF4">
        <w:rPr>
          <w:rStyle w:val="Emphasis"/>
        </w:rPr>
        <w:t xml:space="preserve"> and equipment</w:t>
      </w:r>
      <w:r w:rsidR="00A00D1F" w:rsidRPr="009F0FF4">
        <w:rPr>
          <w:rStyle w:val="Emphasis"/>
        </w:rPr>
        <w:t>, including $</w:t>
      </w:r>
      <w:r w:rsidR="00641085" w:rsidRPr="009F0FF4">
        <w:rPr>
          <w:rStyle w:val="Emphasis"/>
        </w:rPr>
        <w:t>3.</w:t>
      </w:r>
      <w:r w:rsidR="00E54BC8" w:rsidRPr="009F0FF4">
        <w:rPr>
          <w:rStyle w:val="Emphasis"/>
        </w:rPr>
        <w:t>8 </w:t>
      </w:r>
      <w:r w:rsidR="00D55005" w:rsidRPr="009F0FF4">
        <w:rPr>
          <w:rStyle w:val="Emphasis"/>
        </w:rPr>
        <w:t>b</w:t>
      </w:r>
      <w:r w:rsidR="00641085" w:rsidRPr="009F0FF4">
        <w:rPr>
          <w:rStyle w:val="Emphasis"/>
        </w:rPr>
        <w:t xml:space="preserve">illion </w:t>
      </w:r>
      <w:r w:rsidR="00A00D1F" w:rsidRPr="009F0FF4">
        <w:rPr>
          <w:rStyle w:val="Emphasis"/>
        </w:rPr>
        <w:t>on active recreation tourism</w:t>
      </w:r>
      <w:r w:rsidR="00017EBB" w:rsidRPr="009F0FF4">
        <w:rPr>
          <w:rStyle w:val="Emphasis"/>
        </w:rPr>
        <w:t>.</w:t>
      </w:r>
    </w:p>
    <w:p w:rsidR="00D55005" w:rsidRPr="009F0FF4" w:rsidRDefault="00BD7C10" w:rsidP="002F27A9">
      <w:pPr>
        <w:rPr>
          <w:rStyle w:val="Emphasis"/>
        </w:rPr>
      </w:pPr>
      <w:r w:rsidRPr="009F0FF4">
        <w:rPr>
          <w:rStyle w:val="Emphasis"/>
        </w:rPr>
        <w:t xml:space="preserve">Making all </w:t>
      </w:r>
      <w:r w:rsidR="00581526" w:rsidRPr="009F0FF4">
        <w:rPr>
          <w:rStyle w:val="Emphasis"/>
        </w:rPr>
        <w:t>Victorian adult</w:t>
      </w:r>
      <w:r w:rsidRPr="009F0FF4">
        <w:rPr>
          <w:rStyle w:val="Emphasis"/>
        </w:rPr>
        <w:t>s</w:t>
      </w:r>
      <w:r w:rsidR="00581526" w:rsidRPr="009F0FF4">
        <w:rPr>
          <w:rStyle w:val="Emphasis"/>
        </w:rPr>
        <w:t xml:space="preserve"> </w:t>
      </w:r>
      <w:r w:rsidRPr="009F0FF4">
        <w:rPr>
          <w:rStyle w:val="Emphasis"/>
        </w:rPr>
        <w:t xml:space="preserve">physically active would </w:t>
      </w:r>
      <w:r w:rsidR="00581526" w:rsidRPr="009F0FF4">
        <w:rPr>
          <w:rStyle w:val="Emphasis"/>
        </w:rPr>
        <w:t xml:space="preserve">deliver </w:t>
      </w:r>
      <w:r w:rsidR="00BB67DD" w:rsidRPr="009F0FF4">
        <w:rPr>
          <w:rStyle w:val="Emphasis"/>
        </w:rPr>
        <w:t xml:space="preserve">lifetime </w:t>
      </w:r>
      <w:r w:rsidR="00581526" w:rsidRPr="009F0FF4">
        <w:rPr>
          <w:rStyle w:val="Emphasis"/>
        </w:rPr>
        <w:t xml:space="preserve">healthcare system and production benefits to Victoria </w:t>
      </w:r>
      <w:r w:rsidR="00BB67DD" w:rsidRPr="009F0FF4">
        <w:rPr>
          <w:rStyle w:val="Emphasis"/>
        </w:rPr>
        <w:t xml:space="preserve">potentially </w:t>
      </w:r>
      <w:r w:rsidR="00581526" w:rsidRPr="009F0FF4">
        <w:rPr>
          <w:rStyle w:val="Emphasis"/>
        </w:rPr>
        <w:t xml:space="preserve">worth </w:t>
      </w:r>
      <w:r w:rsidR="00BB67DD" w:rsidRPr="009F0FF4">
        <w:rPr>
          <w:rStyle w:val="Emphasis"/>
        </w:rPr>
        <w:t xml:space="preserve">more than </w:t>
      </w:r>
      <w:r w:rsidR="00581526" w:rsidRPr="009F0FF4">
        <w:rPr>
          <w:rStyle w:val="Emphasis"/>
        </w:rPr>
        <w:t>$</w:t>
      </w:r>
      <w:r w:rsidR="00BB67DD" w:rsidRPr="009F0FF4">
        <w:rPr>
          <w:rStyle w:val="Emphasis"/>
        </w:rPr>
        <w:t>3</w:t>
      </w:r>
      <w:r w:rsidR="004A2FC7" w:rsidRPr="009F0FF4">
        <w:rPr>
          <w:rStyle w:val="Emphasis"/>
        </w:rPr>
        <w:t>.3</w:t>
      </w:r>
      <w:r w:rsidR="00D55005" w:rsidRPr="009F0FF4">
        <w:rPr>
          <w:rStyle w:val="Emphasis"/>
        </w:rPr>
        <w:t>5 b</w:t>
      </w:r>
      <w:r w:rsidR="00581526" w:rsidRPr="009F0FF4">
        <w:rPr>
          <w:rStyle w:val="Emphasis"/>
        </w:rPr>
        <w:t>illion.</w:t>
      </w:r>
    </w:p>
    <w:p w:rsidR="00737DF6" w:rsidRPr="00500F57" w:rsidRDefault="00002F9F" w:rsidP="00737DF6">
      <w:r w:rsidRPr="00500F57">
        <w:t xml:space="preserve">Headline estimates from our active recreation economic evaluation are summarised in </w:t>
      </w:r>
      <w:r w:rsidR="00737DF6">
        <w:t>Table 5.</w:t>
      </w:r>
    </w:p>
    <w:p w:rsidR="00D55005" w:rsidRPr="00500F57" w:rsidRDefault="00E44D36" w:rsidP="002F27A9">
      <w:r w:rsidRPr="00500F57">
        <w:t>O</w:t>
      </w:r>
      <w:r w:rsidR="000E1092" w:rsidRPr="00500F57">
        <w:t xml:space="preserve">ur estimates underscore the significance of the </w:t>
      </w:r>
      <w:r w:rsidR="005F5CD2" w:rsidRPr="00500F57">
        <w:t>active recreation</w:t>
      </w:r>
      <w:r w:rsidR="000E1092" w:rsidRPr="00500F57">
        <w:t xml:space="preserve"> sector to Victoria’s economy and the wellbeing of Victorians.</w:t>
      </w:r>
      <w:r w:rsidR="00D55005" w:rsidRPr="00500F57">
        <w:t xml:space="preserve"> </w:t>
      </w:r>
      <w:r w:rsidR="000E1092" w:rsidRPr="00500F57">
        <w:t>We unpack the headline estimates in more detail in the following sections.</w:t>
      </w:r>
    </w:p>
    <w:p w:rsidR="00D55005" w:rsidRPr="00500F57" w:rsidRDefault="001344E2" w:rsidP="002F27A9">
      <w:r>
        <w:t>B</w:t>
      </w:r>
      <w:r w:rsidR="000E1092" w:rsidRPr="00500F57">
        <w:t xml:space="preserve">ecause </w:t>
      </w:r>
      <w:r w:rsidR="00DF5C94" w:rsidRPr="00500F57">
        <w:t>some of these estimates overlap</w:t>
      </w:r>
      <w:r>
        <w:t>,</w:t>
      </w:r>
      <w:r w:rsidR="000E1092" w:rsidRPr="00500F57">
        <w:t xml:space="preserve"> the values are not additive.</w:t>
      </w:r>
      <w:r w:rsidR="00D55005" w:rsidRPr="00500F57">
        <w:t xml:space="preserve"> </w:t>
      </w:r>
      <w:r w:rsidR="00DF5C94" w:rsidRPr="00500F57">
        <w:t>Also</w:t>
      </w:r>
      <w:r w:rsidR="000E1092" w:rsidRPr="00500F57">
        <w:t xml:space="preserve">, because the headline estimates are based on constructed data for activities where </w:t>
      </w:r>
      <w:r w:rsidR="00DF5C94" w:rsidRPr="00500F57">
        <w:t xml:space="preserve">actual </w:t>
      </w:r>
      <w:r w:rsidR="000E1092" w:rsidRPr="00500F57">
        <w:t xml:space="preserve">data </w:t>
      </w:r>
      <w:r w:rsidR="00737DF6">
        <w:t xml:space="preserve">is not available, the values in Table 5 </w:t>
      </w:r>
      <w:r w:rsidR="000E1092" w:rsidRPr="00500F57">
        <w:t xml:space="preserve">are order of magnitude estimates based on </w:t>
      </w:r>
      <w:r>
        <w:t xml:space="preserve">the </w:t>
      </w:r>
      <w:r w:rsidR="000E1092" w:rsidRPr="00500F57">
        <w:t>best available data.</w:t>
      </w:r>
    </w:p>
    <w:p w:rsidR="00261DDA" w:rsidRDefault="00002F9F" w:rsidP="00737DF6">
      <w:r w:rsidRPr="00500F57">
        <w:t>O</w:t>
      </w:r>
      <w:r w:rsidR="006712EB" w:rsidRPr="00500F57">
        <w:t xml:space="preserve">ur analysis shows that active recreation is the physical activity </w:t>
      </w:r>
      <w:r w:rsidR="001344E2">
        <w:t>most preferred by</w:t>
      </w:r>
      <w:r w:rsidR="001344E2" w:rsidRPr="00500F57">
        <w:t xml:space="preserve"> </w:t>
      </w:r>
      <w:r w:rsidR="006712EB" w:rsidRPr="00500F57">
        <w:t xml:space="preserve">Victorians, measured </w:t>
      </w:r>
      <w:r w:rsidR="001344E2">
        <w:t xml:space="preserve">by </w:t>
      </w:r>
      <w:r w:rsidR="006712EB" w:rsidRPr="00500F57">
        <w:t xml:space="preserve">overall participation, participation hours and </w:t>
      </w:r>
      <w:r w:rsidR="00517551" w:rsidRPr="00500F57">
        <w:t>metabolic expenditure</w:t>
      </w:r>
      <w:r w:rsidR="006712EB" w:rsidRPr="00500F57">
        <w:t xml:space="preserve">. Victoria’s </w:t>
      </w:r>
      <w:r w:rsidRPr="00500F57">
        <w:t>4.</w:t>
      </w:r>
      <w:r w:rsidR="00E54BC8">
        <w:t>8</w:t>
      </w:r>
      <w:r w:rsidR="00E54BC8" w:rsidRPr="00500F57">
        <w:t> </w:t>
      </w:r>
      <w:r w:rsidR="00D55005" w:rsidRPr="00500F57">
        <w:t>m</w:t>
      </w:r>
      <w:r w:rsidRPr="00500F57">
        <w:t>illion residents aged 15+ (adults)</w:t>
      </w:r>
      <w:r w:rsidR="006712EB" w:rsidRPr="00500F57">
        <w:t xml:space="preserve"> enjoy around </w:t>
      </w:r>
      <w:r w:rsidR="00E54BC8">
        <w:t>612</w:t>
      </w:r>
      <w:r w:rsidR="00E54BC8" w:rsidRPr="00500F57">
        <w:t> </w:t>
      </w:r>
      <w:r w:rsidR="00D55005" w:rsidRPr="00500F57">
        <w:t>m</w:t>
      </w:r>
      <w:r w:rsidR="006712EB" w:rsidRPr="00500F57">
        <w:t xml:space="preserve">illion hours of active recreation activities </w:t>
      </w:r>
      <w:r w:rsidR="001344E2">
        <w:t>each</w:t>
      </w:r>
      <w:r w:rsidR="006712EB" w:rsidRPr="00500F57">
        <w:t xml:space="preserve"> year, compared to </w:t>
      </w:r>
      <w:r w:rsidR="00E54BC8" w:rsidRPr="00500F57">
        <w:t>1</w:t>
      </w:r>
      <w:r w:rsidR="00E54BC8">
        <w:t>62</w:t>
      </w:r>
      <w:r w:rsidR="00E54BC8" w:rsidRPr="00500F57">
        <w:t> </w:t>
      </w:r>
      <w:r w:rsidR="00D55005" w:rsidRPr="00500F57">
        <w:t>m</w:t>
      </w:r>
      <w:r w:rsidR="00F573C7" w:rsidRPr="00500F57">
        <w:t>illion</w:t>
      </w:r>
      <w:r w:rsidR="00641085" w:rsidRPr="00500F57">
        <w:t xml:space="preserve"> </w:t>
      </w:r>
      <w:r w:rsidR="006712EB" w:rsidRPr="00500F57">
        <w:t>hours in organised sport</w:t>
      </w:r>
      <w:r w:rsidR="00F573C7" w:rsidRPr="00500F57">
        <w:t xml:space="preserve"> </w:t>
      </w:r>
      <w:r w:rsidR="0015554B">
        <w:t>(</w:t>
      </w:r>
      <w:r w:rsidR="00737DF6">
        <w:t xml:space="preserve">Table 1 </w:t>
      </w:r>
      <w:r w:rsidR="00F573C7" w:rsidRPr="00500F57">
        <w:t>and</w:t>
      </w:r>
      <w:r w:rsidR="00737DF6">
        <w:t xml:space="preserve"> Table 6).</w:t>
      </w:r>
    </w:p>
    <w:p w:rsidR="00D55005" w:rsidRPr="00500F57" w:rsidRDefault="001344E2" w:rsidP="002F27A9">
      <w:r>
        <w:t>The t</w:t>
      </w:r>
      <w:r w:rsidR="006712EB" w:rsidRPr="00500F57">
        <w:t xml:space="preserve">otal </w:t>
      </w:r>
      <w:r w:rsidR="003D190E" w:rsidRPr="00500F57">
        <w:t>metabolic equivalent of task (MET)</w:t>
      </w:r>
      <w:r w:rsidR="003D190E" w:rsidRPr="00500F57">
        <w:rPr>
          <w:rStyle w:val="FootnoteReference"/>
        </w:rPr>
        <w:footnoteReference w:id="4"/>
      </w:r>
      <w:r w:rsidR="006712EB" w:rsidRPr="00500F57">
        <w:t xml:space="preserve"> from this active recreation is in the order of </w:t>
      </w:r>
      <w:r w:rsidR="00E54BC8">
        <w:t>3,071</w:t>
      </w:r>
      <w:r w:rsidR="00D55005" w:rsidRPr="00500F57">
        <w:t> m</w:t>
      </w:r>
      <w:r w:rsidR="001D03A2" w:rsidRPr="00500F57">
        <w:t xml:space="preserve">illion </w:t>
      </w:r>
      <w:r w:rsidR="00882E43" w:rsidRPr="00500F57">
        <w:t>MET</w:t>
      </w:r>
      <w:r w:rsidR="001D03A2" w:rsidRPr="00500F57">
        <w:t xml:space="preserve"> hour</w:t>
      </w:r>
      <w:r w:rsidR="00882E43" w:rsidRPr="00500F57">
        <w:t>s</w:t>
      </w:r>
      <w:r>
        <w:t>,</w:t>
      </w:r>
      <w:r w:rsidR="006712EB" w:rsidRPr="00500F57">
        <w:t xml:space="preserve"> compared to </w:t>
      </w:r>
      <w:r w:rsidR="00F573C7" w:rsidRPr="00500F57">
        <w:t>1,</w:t>
      </w:r>
      <w:r w:rsidR="00E54BC8" w:rsidRPr="00500F57">
        <w:t>0</w:t>
      </w:r>
      <w:r w:rsidR="00E54BC8">
        <w:t>98</w:t>
      </w:r>
      <w:r w:rsidR="00E54BC8" w:rsidRPr="00500F57">
        <w:t> </w:t>
      </w:r>
      <w:r w:rsidR="00D55005" w:rsidRPr="00500F57">
        <w:t>m</w:t>
      </w:r>
      <w:r w:rsidR="001D03A2" w:rsidRPr="00500F57">
        <w:t xml:space="preserve">illion </w:t>
      </w:r>
      <w:r w:rsidR="00882E43" w:rsidRPr="00500F57">
        <w:t>MET</w:t>
      </w:r>
      <w:r w:rsidR="001D03A2" w:rsidRPr="00500F57">
        <w:t xml:space="preserve"> hour</w:t>
      </w:r>
      <w:r w:rsidR="00882E43" w:rsidRPr="00500F57">
        <w:t>s</w:t>
      </w:r>
      <w:r w:rsidR="006712EB" w:rsidRPr="00500F57">
        <w:t xml:space="preserve"> for sport.</w:t>
      </w:r>
    </w:p>
    <w:p w:rsidR="00D55005" w:rsidRPr="00500F57" w:rsidRDefault="00882E43" w:rsidP="002F27A9">
      <w:r w:rsidRPr="00500F57">
        <w:lastRenderedPageBreak/>
        <w:t xml:space="preserve">We estimate </w:t>
      </w:r>
      <w:r w:rsidR="001344E2">
        <w:t xml:space="preserve">that </w:t>
      </w:r>
      <w:r w:rsidRPr="00500F57">
        <w:t>t</w:t>
      </w:r>
      <w:r w:rsidR="000E1092" w:rsidRPr="00500F57">
        <w:t xml:space="preserve">otal </w:t>
      </w:r>
      <w:r w:rsidR="001344E2">
        <w:t xml:space="preserve">expenditure related to </w:t>
      </w:r>
      <w:r w:rsidR="00D44F01" w:rsidRPr="00500F57">
        <w:t xml:space="preserve">active recreation </w:t>
      </w:r>
      <w:r w:rsidR="00DF5C94" w:rsidRPr="00500F57">
        <w:t xml:space="preserve">currently </w:t>
      </w:r>
      <w:r w:rsidR="000E1092" w:rsidRPr="00500F57">
        <w:t>generates in the order of $</w:t>
      </w:r>
      <w:r w:rsidR="00F648B9" w:rsidRPr="00500F57">
        <w:t>8.</w:t>
      </w:r>
      <w:r w:rsidR="00E54BC8">
        <w:t>3</w:t>
      </w:r>
      <w:r w:rsidR="00E54BC8" w:rsidRPr="00500F57">
        <w:t> </w:t>
      </w:r>
      <w:r w:rsidR="00D55005" w:rsidRPr="00500F57">
        <w:t>b</w:t>
      </w:r>
      <w:r w:rsidR="000E1092" w:rsidRPr="00500F57">
        <w:t xml:space="preserve">illion </w:t>
      </w:r>
      <w:r w:rsidR="001344E2">
        <w:t>in</w:t>
      </w:r>
      <w:r w:rsidR="001344E2" w:rsidRPr="00500F57">
        <w:t xml:space="preserve"> </w:t>
      </w:r>
      <w:r w:rsidR="000E1092" w:rsidRPr="00500F57">
        <w:t>sales within Victoria</w:t>
      </w:r>
      <w:r w:rsidR="00DF5C94" w:rsidRPr="00500F57">
        <w:t xml:space="preserve"> </w:t>
      </w:r>
      <w:r w:rsidR="001344E2">
        <w:t>each</w:t>
      </w:r>
      <w:r w:rsidR="00DF5C94" w:rsidRPr="00500F57">
        <w:t xml:space="preserve"> year</w:t>
      </w:r>
      <w:r w:rsidR="000E1092" w:rsidRPr="00500F57">
        <w:t xml:space="preserve">. </w:t>
      </w:r>
      <w:r w:rsidRPr="00500F57">
        <w:t xml:space="preserve">Around </w:t>
      </w:r>
      <w:r w:rsidR="001D03A2" w:rsidRPr="00500F57">
        <w:t>$3.</w:t>
      </w:r>
      <w:r w:rsidR="00E54BC8">
        <w:t>8</w:t>
      </w:r>
      <w:r w:rsidR="00E54BC8" w:rsidRPr="00500F57">
        <w:t> </w:t>
      </w:r>
      <w:r w:rsidR="00D55005" w:rsidRPr="00500F57">
        <w:t>b</w:t>
      </w:r>
      <w:r w:rsidR="001D03A2" w:rsidRPr="00500F57">
        <w:t xml:space="preserve">illion </w:t>
      </w:r>
      <w:r w:rsidRPr="00500F57">
        <w:t>of th</w:t>
      </w:r>
      <w:r w:rsidR="001344E2">
        <w:t>at</w:t>
      </w:r>
      <w:r w:rsidRPr="00500F57">
        <w:t xml:space="preserve"> expenditure comes from active recreation tourism.</w:t>
      </w:r>
      <w:r w:rsidR="00002F9F" w:rsidRPr="00500F57">
        <w:t xml:space="preserve"> </w:t>
      </w:r>
      <w:r w:rsidR="000E1092" w:rsidRPr="00500F57">
        <w:t>Th</w:t>
      </w:r>
      <w:r w:rsidR="001344E2">
        <w:t>o</w:t>
      </w:r>
      <w:r w:rsidR="000E1092" w:rsidRPr="00500F57">
        <w:t>se sales generate substantial</w:t>
      </w:r>
      <w:r w:rsidR="00B45B4C" w:rsidRPr="00500F57">
        <w:t xml:space="preserve"> </w:t>
      </w:r>
      <w:r w:rsidR="000E1092" w:rsidRPr="00500F57">
        <w:t xml:space="preserve">wages, profits and rents for Victoria </w:t>
      </w:r>
      <w:r w:rsidR="00DF5C94" w:rsidRPr="00500F57">
        <w:t>of around</w:t>
      </w:r>
      <w:r w:rsidR="000E1092" w:rsidRPr="00500F57">
        <w:t xml:space="preserve"> $</w:t>
      </w:r>
      <w:r w:rsidR="00F648B9" w:rsidRPr="00500F57">
        <w:t>5.</w:t>
      </w:r>
      <w:r w:rsidR="00E54BC8">
        <w:t>2</w:t>
      </w:r>
      <w:r w:rsidR="00E54BC8" w:rsidRPr="00500F57">
        <w:t> </w:t>
      </w:r>
      <w:r w:rsidR="00D55005" w:rsidRPr="00500F57">
        <w:t>b</w:t>
      </w:r>
      <w:r w:rsidR="000E1092" w:rsidRPr="00500F57">
        <w:t>illion (</w:t>
      </w:r>
      <w:r w:rsidR="001344E2">
        <w:t xml:space="preserve">as </w:t>
      </w:r>
      <w:r w:rsidR="002D626A">
        <w:t xml:space="preserve">a </w:t>
      </w:r>
      <w:r w:rsidR="001344E2">
        <w:t xml:space="preserve">GVA </w:t>
      </w:r>
      <w:r w:rsidR="000E1092" w:rsidRPr="00500F57">
        <w:t>direct contribution) and another $</w:t>
      </w:r>
      <w:r w:rsidR="00B45B4C" w:rsidRPr="00500F57">
        <w:t>2</w:t>
      </w:r>
      <w:r w:rsidR="000E1092" w:rsidRPr="00500F57">
        <w:t>.</w:t>
      </w:r>
      <w:r w:rsidR="00D55005" w:rsidRPr="00500F57">
        <w:t>9 b</w:t>
      </w:r>
      <w:r w:rsidR="000E1092" w:rsidRPr="00500F57">
        <w:t>illion in supply</w:t>
      </w:r>
      <w:r w:rsidR="001344E2">
        <w:t>-</w:t>
      </w:r>
      <w:r w:rsidR="000E1092" w:rsidRPr="00500F57">
        <w:t xml:space="preserve">chain activity to generate </w:t>
      </w:r>
      <w:r w:rsidR="0053102B" w:rsidRPr="00500F57">
        <w:t xml:space="preserve">active recreation </w:t>
      </w:r>
      <w:r w:rsidR="000E1092" w:rsidRPr="00500F57">
        <w:t>goods and services (</w:t>
      </w:r>
      <w:r w:rsidR="00816C4D">
        <w:t xml:space="preserve">an </w:t>
      </w:r>
      <w:r w:rsidR="000E1092" w:rsidRPr="00500F57">
        <w:t xml:space="preserve">indirect </w:t>
      </w:r>
      <w:r w:rsidR="001344E2">
        <w:t>GVA</w:t>
      </w:r>
      <w:r w:rsidR="00DD5AFE" w:rsidRPr="00500F57">
        <w:t xml:space="preserve"> </w:t>
      </w:r>
      <w:r w:rsidR="000E1092" w:rsidRPr="00500F57">
        <w:t>contribution).</w:t>
      </w:r>
    </w:p>
    <w:p w:rsidR="00D55005" w:rsidRPr="00500F57" w:rsidRDefault="000E1092" w:rsidP="002F27A9">
      <w:r w:rsidRPr="00500F57">
        <w:t xml:space="preserve">Approximately </w:t>
      </w:r>
      <w:r w:rsidR="00E54BC8" w:rsidRPr="00500F57">
        <w:t>5</w:t>
      </w:r>
      <w:r w:rsidR="00E54BC8">
        <w:t>1</w:t>
      </w:r>
      <w:r w:rsidRPr="00500F57">
        <w:t xml:space="preserve">,000 </w:t>
      </w:r>
      <w:r w:rsidR="000732CC">
        <w:t>FTE</w:t>
      </w:r>
      <w:r w:rsidR="00E125F7" w:rsidRPr="00500F57">
        <w:t xml:space="preserve"> positions are supported in V</w:t>
      </w:r>
      <w:r w:rsidRPr="00500F57">
        <w:t xml:space="preserve">ictoria as a result of </w:t>
      </w:r>
      <w:r w:rsidR="00540735" w:rsidRPr="00500F57">
        <w:t>active recreation</w:t>
      </w:r>
      <w:r w:rsidRPr="00500F57">
        <w:t xml:space="preserve"> activity expenditure.</w:t>
      </w:r>
      <w:r w:rsidR="00D55005" w:rsidRPr="00500F57">
        <w:t xml:space="preserve"> </w:t>
      </w:r>
      <w:r w:rsidRPr="00500F57">
        <w:t xml:space="preserve">This estimate includes full-time and part-time positions and does not distinguish between them or identify the number of hours worked </w:t>
      </w:r>
      <w:r w:rsidR="000732CC">
        <w:t>in each type of</w:t>
      </w:r>
      <w:r w:rsidRPr="00500F57">
        <w:t xml:space="preserve"> position.</w:t>
      </w:r>
    </w:p>
    <w:p w:rsidR="00797E6E" w:rsidRDefault="000E1092" w:rsidP="002F27A9">
      <w:r w:rsidRPr="00500F57">
        <w:t xml:space="preserve">In addition to </w:t>
      </w:r>
      <w:r w:rsidR="00816C4D">
        <w:t>its</w:t>
      </w:r>
      <w:r w:rsidR="00816C4D" w:rsidRPr="00500F57">
        <w:t xml:space="preserve"> </w:t>
      </w:r>
      <w:r w:rsidRPr="00500F57">
        <w:t xml:space="preserve">direct and indirect economic contribution, </w:t>
      </w:r>
      <w:r w:rsidR="00307165" w:rsidRPr="00500F57">
        <w:t>active recreation</w:t>
      </w:r>
      <w:r w:rsidRPr="00500F57">
        <w:t xml:space="preserve"> in Victoria </w:t>
      </w:r>
      <w:r w:rsidR="0053102B" w:rsidRPr="00500F57">
        <w:t xml:space="preserve">is </w:t>
      </w:r>
      <w:r w:rsidRPr="00500F57">
        <w:t xml:space="preserve">estimated to generate significant health and wellbeing values for Victorians. We estimate </w:t>
      </w:r>
      <w:r w:rsidR="000732CC">
        <w:t xml:space="preserve">that the </w:t>
      </w:r>
      <w:r w:rsidR="00882E43" w:rsidRPr="00500F57">
        <w:t>recreation benefits</w:t>
      </w:r>
      <w:r w:rsidR="00BB67DD" w:rsidRPr="00500F57">
        <w:t xml:space="preserve"> of active recreation were worth $3</w:t>
      </w:r>
      <w:r w:rsidR="004A2FC7" w:rsidRPr="00500F57">
        <w:t>.</w:t>
      </w:r>
      <w:r w:rsidR="0078378C">
        <w:t>8</w:t>
      </w:r>
      <w:r w:rsidR="0078378C" w:rsidRPr="00500F57">
        <w:t> </w:t>
      </w:r>
      <w:r w:rsidR="00D55005" w:rsidRPr="00500F57">
        <w:t>b</w:t>
      </w:r>
      <w:r w:rsidR="00BB67DD" w:rsidRPr="00500F57">
        <w:t xml:space="preserve">illion in Victoria in </w:t>
      </w:r>
      <w:r w:rsidR="0078378C" w:rsidRPr="00500F57">
        <w:t>201</w:t>
      </w:r>
      <w:r w:rsidR="0078378C">
        <w:t>7</w:t>
      </w:r>
      <w:r w:rsidR="00882E43" w:rsidRPr="00500F57">
        <w:t>.</w:t>
      </w:r>
      <w:r w:rsidR="00D55005" w:rsidRPr="00500F57">
        <w:t xml:space="preserve"> </w:t>
      </w:r>
      <w:r w:rsidR="00002F9F" w:rsidRPr="00500F57">
        <w:t>Eliminating</w:t>
      </w:r>
      <w:r w:rsidR="00A14B51" w:rsidRPr="00500F57">
        <w:t xml:space="preserve"> insufficient</w:t>
      </w:r>
      <w:r w:rsidR="00002F9F" w:rsidRPr="00500F57">
        <w:t xml:space="preserve"> physical activity</w:t>
      </w:r>
      <w:r w:rsidR="00A14B51" w:rsidRPr="00500F57">
        <w:t xml:space="preserve"> from</w:t>
      </w:r>
      <w:r w:rsidR="00002F9F" w:rsidRPr="00500F57">
        <w:t xml:space="preserve"> the</w:t>
      </w:r>
      <w:r w:rsidR="004A2FC7" w:rsidRPr="00500F57">
        <w:t xml:space="preserve"> 2016</w:t>
      </w:r>
      <w:r w:rsidR="00002F9F" w:rsidRPr="00500F57">
        <w:t xml:space="preserve"> Victorian adult population would deliver healthcare system</w:t>
      </w:r>
      <w:r w:rsidR="009A20BB">
        <w:t xml:space="preserve"> benefits </w:t>
      </w:r>
      <w:r w:rsidR="009A20BB" w:rsidRPr="00500F57">
        <w:t>worth $245 million and workforce production benefits worth $3.1 billion to Victoria over the population’s lifetime</w:t>
      </w:r>
      <w:r w:rsidR="00F861A3">
        <w:t>.</w:t>
      </w:r>
      <w:bookmarkStart w:id="61" w:name="_Ref441743983"/>
    </w:p>
    <w:p w:rsidR="000E1092" w:rsidRPr="00500F57" w:rsidRDefault="000E1092" w:rsidP="00737DF6">
      <w:pPr>
        <w:pStyle w:val="Caption"/>
      </w:pPr>
      <w:r w:rsidRPr="00500F57">
        <w:t>Table</w:t>
      </w:r>
      <w:bookmarkEnd w:id="61"/>
      <w:r w:rsidR="005A7653">
        <w:t xml:space="preserve"> 5</w:t>
      </w:r>
      <w:r w:rsidRPr="00500F57">
        <w:t>:</w:t>
      </w:r>
      <w:r w:rsidR="00D55005" w:rsidRPr="00500F57">
        <w:t xml:space="preserve"> </w:t>
      </w:r>
      <w:r w:rsidRPr="00500F57">
        <w:t xml:space="preserve">Headline estimates of the economic value of </w:t>
      </w:r>
      <w:r w:rsidR="00D67575" w:rsidRPr="00500F57">
        <w:t xml:space="preserve">Victorian </w:t>
      </w:r>
      <w:r w:rsidRPr="00500F57">
        <w:t>acti</w:t>
      </w:r>
      <w:r w:rsidR="00BE67B1" w:rsidRPr="00500F57">
        <w:t>ve recreation</w:t>
      </w:r>
      <w:r w:rsidRPr="00500F57">
        <w:t xml:space="preserve"> </w:t>
      </w:r>
    </w:p>
    <w:tbl>
      <w:tblPr>
        <w:tblStyle w:val="MJAnew"/>
        <w:tblW w:w="0" w:type="auto"/>
        <w:tblInd w:w="108" w:type="dxa"/>
        <w:tblLook w:val="04A0" w:firstRow="1" w:lastRow="0" w:firstColumn="1" w:lastColumn="0" w:noHBand="0" w:noVBand="1"/>
      </w:tblPr>
      <w:tblGrid>
        <w:gridCol w:w="6804"/>
        <w:gridCol w:w="1276"/>
      </w:tblGrid>
      <w:tr w:rsidR="00402A2A" w:rsidRPr="00402A2A" w:rsidTr="00402A2A">
        <w:tc>
          <w:tcPr>
            <w:tcW w:w="6804" w:type="dxa"/>
          </w:tcPr>
          <w:p w:rsidR="00402A2A" w:rsidRPr="00402A2A" w:rsidRDefault="00402A2A" w:rsidP="00402A2A">
            <w:pPr>
              <w:pStyle w:val="Tablerow"/>
              <w:rPr>
                <w:b/>
              </w:rPr>
            </w:pPr>
            <w:r w:rsidRPr="00402A2A">
              <w:rPr>
                <w:b/>
              </w:rPr>
              <w:t>Description</w:t>
            </w:r>
          </w:p>
        </w:tc>
        <w:tc>
          <w:tcPr>
            <w:tcW w:w="1276" w:type="dxa"/>
            <w:vAlign w:val="bottom"/>
          </w:tcPr>
          <w:p w:rsidR="00402A2A" w:rsidRPr="00402A2A" w:rsidRDefault="00402A2A" w:rsidP="00402A2A">
            <w:pPr>
              <w:pStyle w:val="Tablerow"/>
              <w:rPr>
                <w:b/>
              </w:rPr>
            </w:pPr>
            <w:r w:rsidRPr="00402A2A">
              <w:rPr>
                <w:b/>
              </w:rPr>
              <w:t>Data</w:t>
            </w:r>
          </w:p>
        </w:tc>
      </w:tr>
      <w:tr w:rsidR="006766DC" w:rsidRPr="00F90D20" w:rsidTr="0015554B">
        <w:trPr>
          <w:tblHeader w:val="0"/>
        </w:trPr>
        <w:tc>
          <w:tcPr>
            <w:tcW w:w="6804" w:type="dxa"/>
          </w:tcPr>
          <w:p w:rsidR="006766DC" w:rsidRPr="00F90D20" w:rsidRDefault="006766DC" w:rsidP="002F27A9">
            <w:pPr>
              <w:pStyle w:val="Tablerow"/>
            </w:pPr>
            <w:r w:rsidRPr="00F90D20">
              <w:t>Participation (incidences of active recreation activity) by Victorians aged 15+ each year</w:t>
            </w:r>
          </w:p>
        </w:tc>
        <w:tc>
          <w:tcPr>
            <w:tcW w:w="1276" w:type="dxa"/>
            <w:vAlign w:val="bottom"/>
          </w:tcPr>
          <w:p w:rsidR="006766DC" w:rsidRPr="00F90D20" w:rsidRDefault="0078378C" w:rsidP="002F27A9">
            <w:pPr>
              <w:pStyle w:val="Tablerow"/>
            </w:pPr>
            <w:r w:rsidRPr="00F90D20">
              <w:t>725 </w:t>
            </w:r>
            <w:r w:rsidR="00D55005" w:rsidRPr="00F90D20">
              <w:t>m</w:t>
            </w:r>
            <w:r w:rsidR="006766DC" w:rsidRPr="00F90D20">
              <w:t>illion</w:t>
            </w:r>
          </w:p>
        </w:tc>
      </w:tr>
      <w:tr w:rsidR="006766DC" w:rsidRPr="00F90D20" w:rsidTr="0015554B">
        <w:trPr>
          <w:tblHeader w:val="0"/>
        </w:trPr>
        <w:tc>
          <w:tcPr>
            <w:tcW w:w="6804" w:type="dxa"/>
          </w:tcPr>
          <w:p w:rsidR="006766DC" w:rsidRPr="00F90D20" w:rsidRDefault="006766DC" w:rsidP="002F27A9">
            <w:pPr>
              <w:pStyle w:val="Tablerow"/>
            </w:pPr>
            <w:r w:rsidRPr="00F90D20">
              <w:t>Hours of physical activity by Victorians age</w:t>
            </w:r>
            <w:r w:rsidR="000732CC" w:rsidRPr="00F90D20">
              <w:t>d</w:t>
            </w:r>
            <w:r w:rsidRPr="00F90D20">
              <w:t xml:space="preserve"> 15+ each year</w:t>
            </w:r>
          </w:p>
        </w:tc>
        <w:tc>
          <w:tcPr>
            <w:tcW w:w="1276" w:type="dxa"/>
            <w:vAlign w:val="bottom"/>
          </w:tcPr>
          <w:p w:rsidR="006766DC" w:rsidRPr="00F90D20" w:rsidDel="00B27FB2" w:rsidRDefault="0078378C" w:rsidP="002F27A9">
            <w:pPr>
              <w:pStyle w:val="Tablerow"/>
            </w:pPr>
            <w:r w:rsidRPr="00F90D20">
              <w:t>612 </w:t>
            </w:r>
            <w:r w:rsidR="00D55005" w:rsidRPr="00F90D20">
              <w:t>m</w:t>
            </w:r>
            <w:r w:rsidR="006766DC" w:rsidRPr="00F90D20">
              <w:t>illion</w:t>
            </w:r>
          </w:p>
        </w:tc>
      </w:tr>
      <w:tr w:rsidR="006766DC" w:rsidRPr="00F90D20" w:rsidTr="0015554B">
        <w:trPr>
          <w:tblHeader w:val="0"/>
        </w:trPr>
        <w:tc>
          <w:tcPr>
            <w:tcW w:w="6804" w:type="dxa"/>
          </w:tcPr>
          <w:p w:rsidR="006766DC" w:rsidRPr="00F90D20" w:rsidRDefault="006766DC" w:rsidP="002F27A9">
            <w:pPr>
              <w:pStyle w:val="Tablerow"/>
            </w:pPr>
            <w:r w:rsidRPr="00F90D20">
              <w:t xml:space="preserve">Metabolic </w:t>
            </w:r>
            <w:r w:rsidR="000732CC" w:rsidRPr="00F90D20">
              <w:t xml:space="preserve">equivalent of task </w:t>
            </w:r>
            <w:r w:rsidRPr="00F90D20">
              <w:t>(MET)</w:t>
            </w:r>
            <w:r w:rsidR="00816C4D" w:rsidRPr="00F90D20">
              <w:t xml:space="preserve"> hours</w:t>
            </w:r>
          </w:p>
        </w:tc>
        <w:tc>
          <w:tcPr>
            <w:tcW w:w="1276" w:type="dxa"/>
            <w:vAlign w:val="bottom"/>
          </w:tcPr>
          <w:p w:rsidR="006766DC" w:rsidRPr="00F90D20" w:rsidRDefault="0078378C" w:rsidP="00402A2A">
            <w:pPr>
              <w:pStyle w:val="Tablerow"/>
            </w:pPr>
            <w:r w:rsidRPr="00F90D20">
              <w:t>3</w:t>
            </w:r>
            <w:r w:rsidR="00402A2A">
              <w:t>.</w:t>
            </w:r>
            <w:r w:rsidR="00D55005" w:rsidRPr="00F90D20">
              <w:t>0</w:t>
            </w:r>
            <w:r w:rsidRPr="00F90D20">
              <w:t>71</w:t>
            </w:r>
            <w:r w:rsidR="00D55005" w:rsidRPr="00F90D20">
              <w:t> </w:t>
            </w:r>
            <w:r w:rsidR="00402A2A">
              <w:t>billion</w:t>
            </w:r>
          </w:p>
        </w:tc>
      </w:tr>
      <w:tr w:rsidR="006766DC" w:rsidRPr="00F90D20" w:rsidTr="0015554B">
        <w:trPr>
          <w:tblHeader w:val="0"/>
        </w:trPr>
        <w:tc>
          <w:tcPr>
            <w:tcW w:w="6804" w:type="dxa"/>
          </w:tcPr>
          <w:p w:rsidR="006766DC" w:rsidRPr="00F90D20" w:rsidRDefault="006766DC" w:rsidP="002F27A9">
            <w:pPr>
              <w:pStyle w:val="Tablerow"/>
            </w:pPr>
            <w:r w:rsidRPr="00F90D20">
              <w:t>Active recreation annual expenditures</w:t>
            </w:r>
            <w:r w:rsidR="00D55005" w:rsidRPr="00F90D20">
              <w:t>—</w:t>
            </w:r>
            <w:r w:rsidRPr="00F90D20">
              <w:t>all sources ($ 2014)</w:t>
            </w:r>
          </w:p>
        </w:tc>
        <w:tc>
          <w:tcPr>
            <w:tcW w:w="1276" w:type="dxa"/>
            <w:vAlign w:val="bottom"/>
          </w:tcPr>
          <w:p w:rsidR="006766DC" w:rsidRPr="00F90D20" w:rsidRDefault="006766DC" w:rsidP="002F27A9">
            <w:pPr>
              <w:pStyle w:val="Tablerow"/>
            </w:pPr>
            <w:r w:rsidRPr="00F90D20">
              <w:t>$8.</w:t>
            </w:r>
            <w:r w:rsidR="0078378C" w:rsidRPr="00F90D20">
              <w:t>3 </w:t>
            </w:r>
            <w:r w:rsidR="00D55005" w:rsidRPr="00F90D20">
              <w:t>b</w:t>
            </w:r>
            <w:r w:rsidRPr="00F90D20">
              <w:t>illion</w:t>
            </w:r>
          </w:p>
        </w:tc>
      </w:tr>
      <w:tr w:rsidR="006766DC" w:rsidRPr="00F90D20" w:rsidTr="0015554B">
        <w:trPr>
          <w:tblHeader w:val="0"/>
        </w:trPr>
        <w:tc>
          <w:tcPr>
            <w:tcW w:w="6804" w:type="dxa"/>
          </w:tcPr>
          <w:p w:rsidR="006766DC" w:rsidRPr="00F90D20" w:rsidRDefault="000732CC" w:rsidP="002F27A9">
            <w:pPr>
              <w:pStyle w:val="Tablerow"/>
            </w:pPr>
            <w:r w:rsidRPr="00F90D20">
              <w:t xml:space="preserve">– </w:t>
            </w:r>
            <w:r w:rsidR="006766DC" w:rsidRPr="00F90D20">
              <w:t>Tourism</w:t>
            </w:r>
            <w:r w:rsidRPr="00F90D20">
              <w:t>-</w:t>
            </w:r>
            <w:r w:rsidR="006766DC" w:rsidRPr="00F90D20">
              <w:t>related expenditure</w:t>
            </w:r>
          </w:p>
        </w:tc>
        <w:tc>
          <w:tcPr>
            <w:tcW w:w="1276" w:type="dxa"/>
            <w:vAlign w:val="bottom"/>
          </w:tcPr>
          <w:p w:rsidR="006766DC" w:rsidRPr="00F90D20" w:rsidRDefault="006766DC" w:rsidP="002F27A9">
            <w:pPr>
              <w:pStyle w:val="Tablerow"/>
            </w:pPr>
            <w:r w:rsidRPr="00F90D20">
              <w:t>$3.</w:t>
            </w:r>
            <w:r w:rsidR="0078378C" w:rsidRPr="00F90D20">
              <w:t>8 </w:t>
            </w:r>
            <w:r w:rsidR="00D55005" w:rsidRPr="00F90D20">
              <w:t>b</w:t>
            </w:r>
            <w:r w:rsidRPr="00F90D20">
              <w:t>illion</w:t>
            </w:r>
          </w:p>
        </w:tc>
      </w:tr>
      <w:tr w:rsidR="006766DC" w:rsidRPr="00F90D20" w:rsidTr="0015554B">
        <w:trPr>
          <w:tblHeader w:val="0"/>
        </w:trPr>
        <w:tc>
          <w:tcPr>
            <w:tcW w:w="6804" w:type="dxa"/>
          </w:tcPr>
          <w:p w:rsidR="006766DC" w:rsidRPr="00F90D20" w:rsidRDefault="000732CC" w:rsidP="002F27A9">
            <w:pPr>
              <w:pStyle w:val="Tablerow"/>
            </w:pPr>
            <w:r w:rsidRPr="00F90D20">
              <w:t xml:space="preserve">– </w:t>
            </w:r>
            <w:r w:rsidR="006766DC" w:rsidRPr="00F90D20">
              <w:t>All other expenditure</w:t>
            </w:r>
          </w:p>
        </w:tc>
        <w:tc>
          <w:tcPr>
            <w:tcW w:w="1276" w:type="dxa"/>
            <w:vAlign w:val="bottom"/>
          </w:tcPr>
          <w:p w:rsidR="006766DC" w:rsidRPr="00F90D20" w:rsidRDefault="006766DC" w:rsidP="002F27A9">
            <w:pPr>
              <w:pStyle w:val="Tablerow"/>
            </w:pPr>
            <w:r w:rsidRPr="00F90D20">
              <w:t>$4.</w:t>
            </w:r>
            <w:r w:rsidR="00D55005" w:rsidRPr="00F90D20">
              <w:t>5 b</w:t>
            </w:r>
            <w:r w:rsidRPr="00F90D20">
              <w:t>illion</w:t>
            </w:r>
          </w:p>
        </w:tc>
      </w:tr>
      <w:tr w:rsidR="006766DC" w:rsidRPr="00F90D20" w:rsidTr="0015554B">
        <w:trPr>
          <w:tblHeader w:val="0"/>
        </w:trPr>
        <w:tc>
          <w:tcPr>
            <w:tcW w:w="6804" w:type="dxa"/>
          </w:tcPr>
          <w:p w:rsidR="006766DC" w:rsidRPr="00F90D20" w:rsidRDefault="006766DC" w:rsidP="002F27A9">
            <w:pPr>
              <w:pStyle w:val="Tablerow"/>
            </w:pPr>
            <w:r w:rsidRPr="00F90D20">
              <w:t>Gross value</w:t>
            </w:r>
            <w:r w:rsidR="000732CC" w:rsidRPr="00F90D20">
              <w:t xml:space="preserve"> </w:t>
            </w:r>
            <w:r w:rsidRPr="00F90D20">
              <w:t xml:space="preserve">added in </w:t>
            </w:r>
            <w:r w:rsidR="0078378C" w:rsidRPr="00F90D20">
              <w:t>2017</w:t>
            </w:r>
          </w:p>
        </w:tc>
        <w:tc>
          <w:tcPr>
            <w:tcW w:w="1276" w:type="dxa"/>
            <w:vAlign w:val="bottom"/>
          </w:tcPr>
          <w:p w:rsidR="006766DC" w:rsidRPr="00F90D20" w:rsidRDefault="006766DC" w:rsidP="002F27A9">
            <w:pPr>
              <w:pStyle w:val="Tablerow"/>
            </w:pPr>
            <w:r w:rsidRPr="00F90D20">
              <w:t>$</w:t>
            </w:r>
            <w:r w:rsidR="0078378C" w:rsidRPr="00F90D20">
              <w:t>8.1</w:t>
            </w:r>
            <w:r w:rsidR="00D55005" w:rsidRPr="00F90D20">
              <w:t> b</w:t>
            </w:r>
            <w:r w:rsidRPr="00F90D20">
              <w:t>illion</w:t>
            </w:r>
          </w:p>
        </w:tc>
      </w:tr>
      <w:tr w:rsidR="006766DC" w:rsidRPr="00F90D20" w:rsidTr="0015554B">
        <w:trPr>
          <w:tblHeader w:val="0"/>
        </w:trPr>
        <w:tc>
          <w:tcPr>
            <w:tcW w:w="6804" w:type="dxa"/>
          </w:tcPr>
          <w:p w:rsidR="006766DC" w:rsidRPr="00F90D20" w:rsidRDefault="000732CC" w:rsidP="002F27A9">
            <w:pPr>
              <w:pStyle w:val="Tablerow"/>
            </w:pPr>
            <w:r w:rsidRPr="00F90D20">
              <w:t xml:space="preserve">– </w:t>
            </w:r>
            <w:r w:rsidR="006766DC" w:rsidRPr="00F90D20">
              <w:t>Direct</w:t>
            </w:r>
          </w:p>
        </w:tc>
        <w:tc>
          <w:tcPr>
            <w:tcW w:w="1276" w:type="dxa"/>
            <w:vAlign w:val="bottom"/>
          </w:tcPr>
          <w:p w:rsidR="006766DC" w:rsidRPr="00F90D20" w:rsidRDefault="006766DC" w:rsidP="002F27A9">
            <w:pPr>
              <w:pStyle w:val="Tablerow"/>
            </w:pPr>
            <w:r w:rsidRPr="00F90D20">
              <w:t>$5.</w:t>
            </w:r>
            <w:r w:rsidR="0078378C" w:rsidRPr="00F90D20">
              <w:t>2 </w:t>
            </w:r>
            <w:r w:rsidR="00D55005" w:rsidRPr="00F90D20">
              <w:t>b</w:t>
            </w:r>
            <w:r w:rsidRPr="00F90D20">
              <w:t>illion</w:t>
            </w:r>
          </w:p>
        </w:tc>
      </w:tr>
      <w:tr w:rsidR="006766DC" w:rsidRPr="00F90D20" w:rsidTr="0015554B">
        <w:trPr>
          <w:trHeight w:val="101"/>
          <w:tblHeader w:val="0"/>
        </w:trPr>
        <w:tc>
          <w:tcPr>
            <w:tcW w:w="6804" w:type="dxa"/>
          </w:tcPr>
          <w:p w:rsidR="006766DC" w:rsidRPr="00F90D20" w:rsidRDefault="000732CC" w:rsidP="002F27A9">
            <w:pPr>
              <w:pStyle w:val="Tablerow"/>
            </w:pPr>
            <w:r w:rsidRPr="00F90D20">
              <w:t xml:space="preserve">– </w:t>
            </w:r>
            <w:r w:rsidR="006766DC" w:rsidRPr="00F90D20">
              <w:t>Indirect</w:t>
            </w:r>
          </w:p>
        </w:tc>
        <w:tc>
          <w:tcPr>
            <w:tcW w:w="1276" w:type="dxa"/>
            <w:vAlign w:val="bottom"/>
          </w:tcPr>
          <w:p w:rsidR="006766DC" w:rsidRPr="00F90D20" w:rsidRDefault="006766DC" w:rsidP="002F27A9">
            <w:pPr>
              <w:pStyle w:val="Tablerow"/>
            </w:pPr>
            <w:r w:rsidRPr="00F90D20">
              <w:t>$2.</w:t>
            </w:r>
            <w:r w:rsidR="00D55005" w:rsidRPr="00F90D20">
              <w:t>9 b</w:t>
            </w:r>
            <w:r w:rsidRPr="00F90D20">
              <w:t>illion</w:t>
            </w:r>
          </w:p>
        </w:tc>
      </w:tr>
      <w:tr w:rsidR="006766DC" w:rsidRPr="00F90D20" w:rsidTr="0015554B">
        <w:trPr>
          <w:tblHeader w:val="0"/>
        </w:trPr>
        <w:tc>
          <w:tcPr>
            <w:tcW w:w="6804" w:type="dxa"/>
          </w:tcPr>
          <w:p w:rsidR="006766DC" w:rsidRPr="00F90D20" w:rsidRDefault="006766DC" w:rsidP="002F27A9">
            <w:pPr>
              <w:pStyle w:val="Tablerow"/>
            </w:pPr>
            <w:r w:rsidRPr="00F90D20">
              <w:t>FTE</w:t>
            </w:r>
            <w:r w:rsidR="00816C4D" w:rsidRPr="00F90D20">
              <w:t xml:space="preserve"> position</w:t>
            </w:r>
            <w:r w:rsidRPr="00F90D20">
              <w:t xml:space="preserve">s in </w:t>
            </w:r>
            <w:r w:rsidR="003560B5" w:rsidRPr="00F90D20">
              <w:t>2017</w:t>
            </w:r>
          </w:p>
        </w:tc>
        <w:tc>
          <w:tcPr>
            <w:tcW w:w="1276" w:type="dxa"/>
            <w:vAlign w:val="bottom"/>
          </w:tcPr>
          <w:p w:rsidR="006766DC" w:rsidRPr="00F90D20" w:rsidRDefault="0078378C" w:rsidP="002F27A9">
            <w:pPr>
              <w:pStyle w:val="Tablerow"/>
            </w:pPr>
            <w:r w:rsidRPr="00F90D20">
              <w:t>51</w:t>
            </w:r>
            <w:r w:rsidR="006766DC" w:rsidRPr="00F90D20">
              <w:t>,</w:t>
            </w:r>
            <w:r w:rsidR="005F3037" w:rsidRPr="00F90D20">
              <w:t>0</w:t>
            </w:r>
            <w:r w:rsidRPr="00F90D20">
              <w:t>00</w:t>
            </w:r>
          </w:p>
        </w:tc>
      </w:tr>
      <w:tr w:rsidR="006766DC" w:rsidRPr="00F90D20" w:rsidTr="0015554B">
        <w:trPr>
          <w:tblHeader w:val="0"/>
        </w:trPr>
        <w:tc>
          <w:tcPr>
            <w:tcW w:w="6804" w:type="dxa"/>
          </w:tcPr>
          <w:p w:rsidR="006766DC" w:rsidRPr="00F90D20" w:rsidRDefault="000732CC" w:rsidP="002F27A9">
            <w:pPr>
              <w:pStyle w:val="Tablerow"/>
            </w:pPr>
            <w:r w:rsidRPr="00F90D20">
              <w:t xml:space="preserve">– </w:t>
            </w:r>
            <w:r w:rsidR="006766DC" w:rsidRPr="00F90D20">
              <w:t>Direct</w:t>
            </w:r>
          </w:p>
        </w:tc>
        <w:tc>
          <w:tcPr>
            <w:tcW w:w="1276" w:type="dxa"/>
            <w:vAlign w:val="bottom"/>
          </w:tcPr>
          <w:p w:rsidR="006766DC" w:rsidRPr="00F90D20" w:rsidRDefault="0078378C" w:rsidP="002F27A9">
            <w:pPr>
              <w:pStyle w:val="Tablerow"/>
            </w:pPr>
            <w:r w:rsidRPr="00F90D20">
              <w:t>39</w:t>
            </w:r>
            <w:r w:rsidR="006766DC" w:rsidRPr="00F90D20">
              <w:t>,</w:t>
            </w:r>
            <w:r w:rsidRPr="00F90D20">
              <w:t>400</w:t>
            </w:r>
          </w:p>
        </w:tc>
      </w:tr>
      <w:tr w:rsidR="006766DC" w:rsidRPr="00F90D20" w:rsidTr="0015554B">
        <w:trPr>
          <w:tblHeader w:val="0"/>
        </w:trPr>
        <w:tc>
          <w:tcPr>
            <w:tcW w:w="6804" w:type="dxa"/>
          </w:tcPr>
          <w:p w:rsidR="006766DC" w:rsidRPr="00F90D20" w:rsidRDefault="000732CC" w:rsidP="002F27A9">
            <w:pPr>
              <w:pStyle w:val="Tablerow"/>
            </w:pPr>
            <w:r w:rsidRPr="00F90D20">
              <w:t xml:space="preserve">– </w:t>
            </w:r>
            <w:r w:rsidR="006766DC" w:rsidRPr="00F90D20">
              <w:t>Indirect</w:t>
            </w:r>
          </w:p>
        </w:tc>
        <w:tc>
          <w:tcPr>
            <w:tcW w:w="1276" w:type="dxa"/>
            <w:vAlign w:val="bottom"/>
          </w:tcPr>
          <w:p w:rsidR="006766DC" w:rsidRPr="00F90D20" w:rsidRDefault="006766DC" w:rsidP="002F27A9">
            <w:pPr>
              <w:pStyle w:val="Tablerow"/>
            </w:pPr>
            <w:r w:rsidRPr="00F90D20">
              <w:t>11,</w:t>
            </w:r>
            <w:r w:rsidR="0078378C" w:rsidRPr="00F90D20">
              <w:t>600</w:t>
            </w:r>
          </w:p>
        </w:tc>
      </w:tr>
      <w:tr w:rsidR="006766DC" w:rsidRPr="00F90D20" w:rsidTr="0015554B">
        <w:trPr>
          <w:tblHeader w:val="0"/>
        </w:trPr>
        <w:tc>
          <w:tcPr>
            <w:tcW w:w="6804" w:type="dxa"/>
          </w:tcPr>
          <w:p w:rsidR="006766DC" w:rsidRPr="00F90D20" w:rsidRDefault="006766DC" w:rsidP="002F27A9">
            <w:pPr>
              <w:pStyle w:val="Tablerow"/>
            </w:pPr>
            <w:r w:rsidRPr="00F90D20">
              <w:t>Recreation value (consumer surplus</w:t>
            </w:r>
            <w:r w:rsidR="000732CC" w:rsidRPr="00F90D20">
              <w:t xml:space="preserve"> per year,</w:t>
            </w:r>
            <w:r w:rsidRPr="00F90D20">
              <w:t xml:space="preserve"> $</w:t>
            </w:r>
            <w:r w:rsidR="000732CC" w:rsidRPr="00F90D20">
              <w:t> </w:t>
            </w:r>
            <w:r w:rsidRPr="00F90D20">
              <w:t>201</w:t>
            </w:r>
            <w:r w:rsidR="00B34317" w:rsidRPr="00F90D20">
              <w:t>7</w:t>
            </w:r>
            <w:r w:rsidRPr="00F90D20">
              <w:t>)</w:t>
            </w:r>
          </w:p>
        </w:tc>
        <w:tc>
          <w:tcPr>
            <w:tcW w:w="1276" w:type="dxa"/>
            <w:vAlign w:val="bottom"/>
          </w:tcPr>
          <w:p w:rsidR="006766DC" w:rsidRPr="00F90D20" w:rsidRDefault="006766DC" w:rsidP="002F27A9">
            <w:pPr>
              <w:pStyle w:val="Tablerow"/>
            </w:pPr>
            <w:r w:rsidRPr="00F90D20">
              <w:t>$3.</w:t>
            </w:r>
            <w:r w:rsidR="0078378C" w:rsidRPr="00F90D20">
              <w:t>8 </w:t>
            </w:r>
            <w:r w:rsidR="00D55005" w:rsidRPr="00F90D20">
              <w:t>b</w:t>
            </w:r>
            <w:r w:rsidRPr="00F90D20">
              <w:t>illion</w:t>
            </w:r>
          </w:p>
        </w:tc>
      </w:tr>
    </w:tbl>
    <w:p w:rsidR="007C0708" w:rsidRDefault="007C0708" w:rsidP="00737DF6">
      <w:pPr>
        <w:pStyle w:val="Caption"/>
      </w:pPr>
    </w:p>
    <w:p w:rsidR="009F0FF4" w:rsidRDefault="009F0FF4" w:rsidP="00737DF6">
      <w:pPr>
        <w:pStyle w:val="Caption"/>
      </w:pPr>
      <w:r w:rsidRPr="00F90D20">
        <w:t>Lifetime impact of becoming physically active in Victorian 15+ population</w:t>
      </w:r>
    </w:p>
    <w:tbl>
      <w:tblPr>
        <w:tblStyle w:val="MJAnew"/>
        <w:tblW w:w="0" w:type="auto"/>
        <w:tblInd w:w="108" w:type="dxa"/>
        <w:tblLook w:val="04A0" w:firstRow="1" w:lastRow="0" w:firstColumn="1" w:lastColumn="0" w:noHBand="0" w:noVBand="1"/>
      </w:tblPr>
      <w:tblGrid>
        <w:gridCol w:w="6804"/>
        <w:gridCol w:w="1276"/>
      </w:tblGrid>
      <w:tr w:rsidR="00402A2A" w:rsidRPr="00402A2A" w:rsidTr="00402A2A">
        <w:tc>
          <w:tcPr>
            <w:tcW w:w="6804" w:type="dxa"/>
          </w:tcPr>
          <w:p w:rsidR="00402A2A" w:rsidRPr="00402A2A" w:rsidRDefault="00402A2A" w:rsidP="002F27A9">
            <w:pPr>
              <w:pStyle w:val="Tablerow"/>
              <w:rPr>
                <w:b/>
              </w:rPr>
            </w:pPr>
            <w:proofErr w:type="spellStart"/>
            <w:r w:rsidRPr="00402A2A">
              <w:rPr>
                <w:b/>
              </w:rPr>
              <w:t>Descrition</w:t>
            </w:r>
            <w:proofErr w:type="spellEnd"/>
          </w:p>
        </w:tc>
        <w:tc>
          <w:tcPr>
            <w:tcW w:w="1276" w:type="dxa"/>
            <w:vAlign w:val="bottom"/>
          </w:tcPr>
          <w:p w:rsidR="00402A2A" w:rsidRPr="00402A2A" w:rsidRDefault="00402A2A" w:rsidP="002F27A9">
            <w:pPr>
              <w:pStyle w:val="Tablerow"/>
              <w:rPr>
                <w:b/>
              </w:rPr>
            </w:pPr>
            <w:r w:rsidRPr="00402A2A">
              <w:rPr>
                <w:b/>
              </w:rPr>
              <w:t>Data</w:t>
            </w:r>
          </w:p>
        </w:tc>
      </w:tr>
      <w:tr w:rsidR="006766DC" w:rsidRPr="00F90D20" w:rsidTr="00402A2A">
        <w:tc>
          <w:tcPr>
            <w:tcW w:w="6804" w:type="dxa"/>
          </w:tcPr>
          <w:p w:rsidR="006766DC" w:rsidRPr="00F90D20" w:rsidRDefault="006766DC" w:rsidP="002F27A9">
            <w:pPr>
              <w:pStyle w:val="Tablerow"/>
            </w:pPr>
            <w:r w:rsidRPr="00F90D20">
              <w:t>Avoided healthcare costs (</w:t>
            </w:r>
            <w:r w:rsidR="000732CC" w:rsidRPr="00F90D20">
              <w:t xml:space="preserve">one-off, </w:t>
            </w:r>
            <w:r w:rsidRPr="00F90D20">
              <w:t>$</w:t>
            </w:r>
            <w:r w:rsidR="000732CC" w:rsidRPr="00F90D20">
              <w:t> </w:t>
            </w:r>
            <w:r w:rsidRPr="00F90D20">
              <w:t>201</w:t>
            </w:r>
            <w:r w:rsidR="00D55005" w:rsidRPr="00F90D20">
              <w:t>6</w:t>
            </w:r>
            <w:r w:rsidRPr="00F90D20">
              <w:t xml:space="preserve">) </w:t>
            </w:r>
          </w:p>
        </w:tc>
        <w:tc>
          <w:tcPr>
            <w:tcW w:w="1276" w:type="dxa"/>
            <w:vAlign w:val="bottom"/>
          </w:tcPr>
          <w:p w:rsidR="006766DC" w:rsidRPr="00F90D20" w:rsidRDefault="006766DC" w:rsidP="002F27A9">
            <w:pPr>
              <w:pStyle w:val="Tablerow"/>
            </w:pPr>
            <w:r w:rsidRPr="00F90D20">
              <w:t>$24</w:t>
            </w:r>
            <w:r w:rsidR="00D55005" w:rsidRPr="00F90D20">
              <w:t>5 m</w:t>
            </w:r>
            <w:r w:rsidRPr="00F90D20">
              <w:t>illion</w:t>
            </w:r>
          </w:p>
        </w:tc>
      </w:tr>
      <w:tr w:rsidR="006766DC" w:rsidRPr="00F90D20" w:rsidTr="00402A2A">
        <w:tc>
          <w:tcPr>
            <w:tcW w:w="6804" w:type="dxa"/>
          </w:tcPr>
          <w:p w:rsidR="006766DC" w:rsidRPr="00F90D20" w:rsidRDefault="006766DC" w:rsidP="002F27A9">
            <w:pPr>
              <w:pStyle w:val="Tablerow"/>
            </w:pPr>
            <w:r w:rsidRPr="00F90D20">
              <w:t>Workforce labour production benefits (one</w:t>
            </w:r>
            <w:r w:rsidR="000732CC" w:rsidRPr="00F90D20">
              <w:t>-</w:t>
            </w:r>
            <w:r w:rsidRPr="00F90D20">
              <w:t xml:space="preserve">off, </w:t>
            </w:r>
            <w:r w:rsidR="00816C4D" w:rsidRPr="00F90D20">
              <w:t xml:space="preserve">human capital </w:t>
            </w:r>
            <w:r w:rsidRPr="00F90D20">
              <w:t>approach</w:t>
            </w:r>
            <w:r w:rsidR="000732CC" w:rsidRPr="00F90D20">
              <w:t xml:space="preserve">, </w:t>
            </w:r>
            <w:r w:rsidRPr="00F90D20">
              <w:t>$</w:t>
            </w:r>
            <w:r w:rsidR="000732CC" w:rsidRPr="00F90D20">
              <w:t> </w:t>
            </w:r>
            <w:r w:rsidRPr="00F90D20">
              <w:t>2016)</w:t>
            </w:r>
          </w:p>
        </w:tc>
        <w:tc>
          <w:tcPr>
            <w:tcW w:w="1276" w:type="dxa"/>
            <w:vAlign w:val="bottom"/>
          </w:tcPr>
          <w:p w:rsidR="006766DC" w:rsidRPr="00F90D20" w:rsidRDefault="006766DC" w:rsidP="002F27A9">
            <w:pPr>
              <w:pStyle w:val="Tablerow"/>
            </w:pPr>
            <w:r w:rsidRPr="00F90D20">
              <w:t>$3.</w:t>
            </w:r>
            <w:r w:rsidR="00D55005" w:rsidRPr="00F90D20">
              <w:t>1 b</w:t>
            </w:r>
            <w:r w:rsidRPr="00F90D20">
              <w:t>illion</w:t>
            </w:r>
          </w:p>
        </w:tc>
      </w:tr>
      <w:tr w:rsidR="006766DC" w:rsidRPr="00F90D20" w:rsidTr="00402A2A">
        <w:tc>
          <w:tcPr>
            <w:tcW w:w="6804" w:type="dxa"/>
          </w:tcPr>
          <w:p w:rsidR="006766DC" w:rsidRPr="00F90D20" w:rsidRDefault="006766DC" w:rsidP="002F27A9">
            <w:pPr>
              <w:pStyle w:val="Tablerow"/>
            </w:pPr>
            <w:r w:rsidRPr="00F90D20">
              <w:t>Home</w:t>
            </w:r>
            <w:r w:rsidR="000732CC" w:rsidRPr="00F90D20">
              <w:t>-</w:t>
            </w:r>
            <w:r w:rsidRPr="00F90D20">
              <w:t>based labour production benefits (one</w:t>
            </w:r>
            <w:r w:rsidR="000732CC" w:rsidRPr="00F90D20">
              <w:t>-</w:t>
            </w:r>
            <w:r w:rsidRPr="00F90D20">
              <w:t>off)</w:t>
            </w:r>
          </w:p>
        </w:tc>
        <w:tc>
          <w:tcPr>
            <w:tcW w:w="1276" w:type="dxa"/>
            <w:vAlign w:val="bottom"/>
          </w:tcPr>
          <w:p w:rsidR="006766DC" w:rsidRPr="00F90D20" w:rsidRDefault="006766DC" w:rsidP="002F27A9">
            <w:pPr>
              <w:pStyle w:val="Tablerow"/>
            </w:pPr>
            <w:r w:rsidRPr="00F90D20">
              <w:t>$12</w:t>
            </w:r>
            <w:r w:rsidR="00D55005" w:rsidRPr="00F90D20">
              <w:t>5 m</w:t>
            </w:r>
            <w:r w:rsidRPr="00F90D20">
              <w:t>illion</w:t>
            </w:r>
          </w:p>
        </w:tc>
      </w:tr>
    </w:tbl>
    <w:p w:rsidR="00A00D1F" w:rsidRPr="00500F57" w:rsidRDefault="00B73093" w:rsidP="002F27A9">
      <w:pPr>
        <w:pStyle w:val="Heading1"/>
      </w:pPr>
      <w:bookmarkStart w:id="62" w:name="_Toc477964692"/>
      <w:bookmarkStart w:id="63" w:name="_Toc516050180"/>
      <w:r>
        <w:lastRenderedPageBreak/>
        <w:t>Active</w:t>
      </w:r>
      <w:r w:rsidR="00A00D1F" w:rsidRPr="00500F57">
        <w:t xml:space="preserve"> recreation participation</w:t>
      </w:r>
      <w:bookmarkEnd w:id="62"/>
      <w:bookmarkEnd w:id="63"/>
    </w:p>
    <w:p w:rsidR="00D93967" w:rsidRPr="009F0FF4" w:rsidRDefault="00D93967" w:rsidP="002F27A9">
      <w:pPr>
        <w:rPr>
          <w:rStyle w:val="Emphasis"/>
        </w:rPr>
      </w:pPr>
      <w:r w:rsidRPr="009F0FF4">
        <w:rPr>
          <w:rStyle w:val="Emphasis"/>
        </w:rPr>
        <w:t xml:space="preserve">Our estimates show that active recreation is </w:t>
      </w:r>
      <w:r w:rsidR="00517551" w:rsidRPr="009F0FF4">
        <w:rPr>
          <w:rStyle w:val="Emphasis"/>
        </w:rPr>
        <w:t>Victorians’</w:t>
      </w:r>
      <w:r w:rsidR="00A77494" w:rsidRPr="009F0FF4">
        <w:rPr>
          <w:rStyle w:val="Emphasis"/>
        </w:rPr>
        <w:t xml:space="preserve"> most</w:t>
      </w:r>
      <w:r w:rsidRPr="009F0FF4">
        <w:rPr>
          <w:rStyle w:val="Emphasis"/>
        </w:rPr>
        <w:t xml:space="preserve"> </w:t>
      </w:r>
      <w:r w:rsidR="00A77494" w:rsidRPr="009F0FF4">
        <w:rPr>
          <w:rStyle w:val="Emphasis"/>
        </w:rPr>
        <w:t xml:space="preserve">preferred </w:t>
      </w:r>
      <w:r w:rsidR="00720234" w:rsidRPr="009F0FF4">
        <w:rPr>
          <w:rStyle w:val="Emphasis"/>
        </w:rPr>
        <w:t xml:space="preserve">type of </w:t>
      </w:r>
      <w:r w:rsidR="00A77494" w:rsidRPr="009F0FF4">
        <w:rPr>
          <w:rStyle w:val="Emphasis"/>
        </w:rPr>
        <w:t>physical activity</w:t>
      </w:r>
      <w:r w:rsidR="008F049B" w:rsidRPr="009F0FF4">
        <w:rPr>
          <w:rStyle w:val="Emphasis"/>
        </w:rPr>
        <w:t xml:space="preserve">, measured </w:t>
      </w:r>
      <w:r w:rsidR="000732CC" w:rsidRPr="009F0FF4">
        <w:rPr>
          <w:rStyle w:val="Emphasis"/>
        </w:rPr>
        <w:t>as</w:t>
      </w:r>
      <w:r w:rsidR="008F049B" w:rsidRPr="009F0FF4">
        <w:rPr>
          <w:rStyle w:val="Emphasis"/>
        </w:rPr>
        <w:t xml:space="preserve"> overall participation, participation hours and </w:t>
      </w:r>
      <w:r w:rsidR="00882E43" w:rsidRPr="009F0FF4">
        <w:rPr>
          <w:rStyle w:val="Emphasis"/>
        </w:rPr>
        <w:t xml:space="preserve">total </w:t>
      </w:r>
      <w:r w:rsidR="00517551" w:rsidRPr="009F0FF4">
        <w:rPr>
          <w:rStyle w:val="Emphasis"/>
        </w:rPr>
        <w:t>metabolic expenditure</w:t>
      </w:r>
      <w:r w:rsidR="008F049B" w:rsidRPr="009F0FF4">
        <w:rPr>
          <w:rStyle w:val="Emphasis"/>
        </w:rPr>
        <w:t>.</w:t>
      </w:r>
    </w:p>
    <w:p w:rsidR="00D55005" w:rsidRPr="00500F57" w:rsidRDefault="008F049B" w:rsidP="002F27A9">
      <w:r w:rsidRPr="00500F57">
        <w:t xml:space="preserve">Our estimates of active recreation participation, participation hours and </w:t>
      </w:r>
      <w:r w:rsidR="00517551" w:rsidRPr="00500F57">
        <w:t>metabolic expenditure</w:t>
      </w:r>
      <w:r w:rsidR="00720234" w:rsidRPr="00500F57">
        <w:t xml:space="preserve"> are summarised in</w:t>
      </w:r>
      <w:r w:rsidR="0034748A">
        <w:t xml:space="preserve"> </w:t>
      </w:r>
      <w:r w:rsidR="00737DF6">
        <w:t xml:space="preserve">Table 6, </w:t>
      </w:r>
      <w:r w:rsidRPr="00500F57">
        <w:t>ba</w:t>
      </w:r>
      <w:r w:rsidR="00720234" w:rsidRPr="00500F57">
        <w:t>s</w:t>
      </w:r>
      <w:r w:rsidRPr="00500F57">
        <w:t xml:space="preserve">ed on ERASS data for Victoria from </w:t>
      </w:r>
      <w:r w:rsidR="001D03A2" w:rsidRPr="00500F57">
        <w:t xml:space="preserve">2007 </w:t>
      </w:r>
      <w:r w:rsidRPr="00500F57">
        <w:t xml:space="preserve">to </w:t>
      </w:r>
      <w:r w:rsidR="001D03A2" w:rsidRPr="00500F57">
        <w:t>2010</w:t>
      </w:r>
      <w:r w:rsidR="00517551" w:rsidRPr="00500F57">
        <w:t>, which is the latest available data for th</w:t>
      </w:r>
      <w:r w:rsidR="000732CC">
        <w:t>at</w:t>
      </w:r>
      <w:r w:rsidR="00517551" w:rsidRPr="00500F57">
        <w:t xml:space="preserve"> survey.</w:t>
      </w:r>
      <w:r w:rsidRPr="00500F57">
        <w:t xml:space="preserve"> </w:t>
      </w:r>
      <w:r w:rsidR="000732CC">
        <w:t>T</w:t>
      </w:r>
      <w:r w:rsidRPr="00500F57">
        <w:t xml:space="preserve">he key assumption made </w:t>
      </w:r>
      <w:r w:rsidR="00A77494" w:rsidRPr="00500F57">
        <w:t xml:space="preserve">here </w:t>
      </w:r>
      <w:r w:rsidRPr="00500F57">
        <w:t>is that those ERASS activities that respondents classified as being unorganised are proxies for active recreation</w:t>
      </w:r>
      <w:r w:rsidR="000732CC">
        <w:t>,</w:t>
      </w:r>
      <w:r w:rsidRPr="00500F57">
        <w:t xml:space="preserve"> as </w:t>
      </w:r>
      <w:r w:rsidR="000732CC">
        <w:t>opposed</w:t>
      </w:r>
      <w:r w:rsidR="000732CC" w:rsidRPr="00500F57">
        <w:t xml:space="preserve"> </w:t>
      </w:r>
      <w:r w:rsidRPr="00500F57">
        <w:t xml:space="preserve">to organised </w:t>
      </w:r>
      <w:r w:rsidR="00E47A32" w:rsidRPr="00500F57">
        <w:t xml:space="preserve">competition </w:t>
      </w:r>
      <w:r w:rsidRPr="00500F57">
        <w:t>sport.</w:t>
      </w:r>
    </w:p>
    <w:p w:rsidR="00D55005" w:rsidRPr="00500F57" w:rsidRDefault="000732CC" w:rsidP="002F27A9">
      <w:r>
        <w:t>We found</w:t>
      </w:r>
      <w:r w:rsidR="00720234" w:rsidRPr="00500F57">
        <w:t xml:space="preserve"> t</w:t>
      </w:r>
      <w:r w:rsidR="00517551" w:rsidRPr="00500F57">
        <w:t>hat active recreation</w:t>
      </w:r>
      <w:r w:rsidR="00720234" w:rsidRPr="00500F57">
        <w:t xml:space="preserve"> </w:t>
      </w:r>
      <w:r w:rsidR="00517551" w:rsidRPr="00500F57">
        <w:t>activities are</w:t>
      </w:r>
      <w:r w:rsidR="00720234" w:rsidRPr="00500F57">
        <w:t xml:space="preserve"> Victorians’ most preferred type of physical activity, based on </w:t>
      </w:r>
      <w:r w:rsidR="00532B0F" w:rsidRPr="00500F57">
        <w:t>several key</w:t>
      </w:r>
      <w:r w:rsidR="00720234" w:rsidRPr="00500F57">
        <w:t xml:space="preserve"> measures:</w:t>
      </w:r>
    </w:p>
    <w:p w:rsidR="00532B0F" w:rsidRPr="00500F57" w:rsidRDefault="007F2813" w:rsidP="002F27A9">
      <w:pPr>
        <w:pStyle w:val="ListParagraph"/>
      </w:pPr>
      <w:r w:rsidRPr="00500F57">
        <w:t xml:space="preserve">We estimate </w:t>
      </w:r>
      <w:r w:rsidR="000732CC">
        <w:t xml:space="preserve">that </w:t>
      </w:r>
      <w:r w:rsidRPr="00500F57">
        <w:t>t</w:t>
      </w:r>
      <w:r w:rsidR="00532B0F" w:rsidRPr="00500F57">
        <w:t xml:space="preserve">here are around </w:t>
      </w:r>
      <w:r w:rsidR="0078378C">
        <w:t>837</w:t>
      </w:r>
      <w:r w:rsidR="0078378C" w:rsidRPr="00500F57">
        <w:t> </w:t>
      </w:r>
      <w:r w:rsidR="00D55005" w:rsidRPr="00500F57">
        <w:t>m</w:t>
      </w:r>
      <w:r w:rsidR="00532B0F" w:rsidRPr="00500F57">
        <w:t>illion physical activity (sport and active recreation) sessions each year in Victoria.</w:t>
      </w:r>
      <w:r w:rsidR="00D55005" w:rsidRPr="00500F57">
        <w:t xml:space="preserve"> </w:t>
      </w:r>
      <w:r w:rsidR="00532B0F" w:rsidRPr="00500F57">
        <w:t xml:space="preserve">Around </w:t>
      </w:r>
      <w:r w:rsidR="00FF1BAB" w:rsidRPr="00500F57">
        <w:t>87</w:t>
      </w:r>
      <w:r w:rsidR="002D30BA">
        <w:t xml:space="preserve"> per cent</w:t>
      </w:r>
      <w:r w:rsidR="00532B0F" w:rsidRPr="00500F57">
        <w:t xml:space="preserve"> of th</w:t>
      </w:r>
      <w:r w:rsidR="000732CC">
        <w:t>o</w:t>
      </w:r>
      <w:r w:rsidR="00532B0F" w:rsidRPr="00500F57">
        <w:t xml:space="preserve">se activities are </w:t>
      </w:r>
      <w:r w:rsidRPr="00500F57">
        <w:t xml:space="preserve">classified as </w:t>
      </w:r>
      <w:r w:rsidR="00532B0F" w:rsidRPr="00500F57">
        <w:t>active recreation activities.</w:t>
      </w:r>
    </w:p>
    <w:p w:rsidR="00532B0F" w:rsidRPr="00500F57" w:rsidRDefault="00532B0F" w:rsidP="002F27A9">
      <w:pPr>
        <w:pStyle w:val="ListParagraph"/>
      </w:pPr>
      <w:r w:rsidRPr="00500F57">
        <w:t xml:space="preserve">We estimate </w:t>
      </w:r>
      <w:r w:rsidR="000732CC">
        <w:t>th</w:t>
      </w:r>
      <w:r w:rsidR="00816C4D">
        <w:t>at</w:t>
      </w:r>
      <w:r w:rsidR="000732CC">
        <w:t xml:space="preserve"> </w:t>
      </w:r>
      <w:r w:rsidRPr="00500F57">
        <w:t xml:space="preserve">Victorian adults do around </w:t>
      </w:r>
      <w:r w:rsidR="00FF1BAB" w:rsidRPr="00500F57">
        <w:t>7</w:t>
      </w:r>
      <w:r w:rsidR="00AA4522">
        <w:t>7</w:t>
      </w:r>
      <w:r w:rsidR="00FF1BAB" w:rsidRPr="00500F57">
        <w:t>3</w:t>
      </w:r>
      <w:r w:rsidR="00D55005" w:rsidRPr="00500F57">
        <w:t> m</w:t>
      </w:r>
      <w:r w:rsidR="001D03A2" w:rsidRPr="00500F57">
        <w:t xml:space="preserve">illion </w:t>
      </w:r>
      <w:r w:rsidRPr="00500F57">
        <w:t>hours of physical activity each year.</w:t>
      </w:r>
      <w:r w:rsidR="00D55005" w:rsidRPr="00500F57">
        <w:t xml:space="preserve"> </w:t>
      </w:r>
      <w:r w:rsidRPr="00500F57">
        <w:t xml:space="preserve">Around </w:t>
      </w:r>
      <w:r w:rsidR="00A522EB" w:rsidRPr="00500F57">
        <w:t>79</w:t>
      </w:r>
      <w:r w:rsidR="002D30BA">
        <w:t xml:space="preserve"> per cent</w:t>
      </w:r>
      <w:r w:rsidRPr="00500F57">
        <w:t xml:space="preserve"> of th</w:t>
      </w:r>
      <w:r w:rsidR="000732CC">
        <w:t>o</w:t>
      </w:r>
      <w:r w:rsidRPr="00500F57">
        <w:t>se hours are active recreation hours.</w:t>
      </w:r>
    </w:p>
    <w:p w:rsidR="00D55005" w:rsidRPr="00500F57" w:rsidRDefault="00532B0F" w:rsidP="002F27A9">
      <w:pPr>
        <w:pStyle w:val="ListParagraph"/>
      </w:pPr>
      <w:r w:rsidRPr="00500F57">
        <w:t>We estimate</w:t>
      </w:r>
      <w:r w:rsidR="000732CC">
        <w:t xml:space="preserve"> that</w:t>
      </w:r>
      <w:r w:rsidRPr="00500F57">
        <w:t xml:space="preserve"> the different levels of intensity of physical activity result in</w:t>
      </w:r>
      <w:r w:rsidR="007F2813" w:rsidRPr="00500F57">
        <w:t xml:space="preserve"> metabolic</w:t>
      </w:r>
      <w:r w:rsidRPr="00500F57">
        <w:t xml:space="preserve"> expenditure of around </w:t>
      </w:r>
      <w:r w:rsidR="00D55005" w:rsidRPr="00500F57">
        <w:t>4</w:t>
      </w:r>
      <w:r w:rsidR="00AA4522">
        <w:t>.2</w:t>
      </w:r>
      <w:r w:rsidR="00D55005" w:rsidRPr="00500F57">
        <w:t> b</w:t>
      </w:r>
      <w:r w:rsidRPr="00500F57">
        <w:t>illion MET</w:t>
      </w:r>
      <w:r w:rsidR="00034EC7" w:rsidRPr="00500F57">
        <w:t xml:space="preserve"> hour</w:t>
      </w:r>
      <w:r w:rsidRPr="00500F57">
        <w:t>s each year by the Victorian adult population.</w:t>
      </w:r>
      <w:r w:rsidR="00D55005" w:rsidRPr="00500F57">
        <w:t xml:space="preserve"> </w:t>
      </w:r>
      <w:r w:rsidRPr="00500F57">
        <w:t xml:space="preserve">Around </w:t>
      </w:r>
      <w:r w:rsidR="00AA4522">
        <w:t>3.1</w:t>
      </w:r>
      <w:r w:rsidR="00D55005" w:rsidRPr="00500F57">
        <w:t> b</w:t>
      </w:r>
      <w:r w:rsidR="00F573C7" w:rsidRPr="00500F57">
        <w:t xml:space="preserve">illion </w:t>
      </w:r>
      <w:r w:rsidRPr="00500F57">
        <w:t>of total MET expenditure occurs through active recreation.</w:t>
      </w:r>
    </w:p>
    <w:p w:rsidR="00D55005" w:rsidRPr="00500F57" w:rsidRDefault="00952230" w:rsidP="002F27A9">
      <w:r w:rsidRPr="00500F57">
        <w:t>T</w:t>
      </w:r>
      <w:r w:rsidR="00532B0F" w:rsidRPr="00500F57">
        <w:t xml:space="preserve">he most popular physical activity in </w:t>
      </w:r>
      <w:r w:rsidRPr="00500F57">
        <w:t xml:space="preserve">Victoria is walking. Around </w:t>
      </w:r>
      <w:r w:rsidR="00422249" w:rsidRPr="00500F57">
        <w:t>41</w:t>
      </w:r>
      <w:r w:rsidR="002D30BA">
        <w:t xml:space="preserve"> per cent</w:t>
      </w:r>
      <w:r w:rsidRPr="00500F57">
        <w:t xml:space="preserve"> of the adult Victorian population walks </w:t>
      </w:r>
      <w:r w:rsidR="007F2813" w:rsidRPr="00500F57">
        <w:t xml:space="preserve">at least once </w:t>
      </w:r>
      <w:r w:rsidRPr="00500F57">
        <w:t>for physical activity each year.</w:t>
      </w:r>
      <w:r w:rsidR="00D55005" w:rsidRPr="00500F57">
        <w:t xml:space="preserve"> </w:t>
      </w:r>
      <w:r w:rsidRPr="00500F57">
        <w:t xml:space="preserve">Walking for active recreation accounts for around </w:t>
      </w:r>
      <w:r w:rsidR="00034EC7" w:rsidRPr="00500F57">
        <w:t>3</w:t>
      </w:r>
      <w:r w:rsidR="00443A3A" w:rsidRPr="00500F57">
        <w:t>7</w:t>
      </w:r>
      <w:r w:rsidR="002D30BA">
        <w:t xml:space="preserve"> per cent</w:t>
      </w:r>
      <w:r w:rsidRPr="00500F57">
        <w:t xml:space="preserve"> of total physical activity hours each year and </w:t>
      </w:r>
      <w:r w:rsidR="000431F6">
        <w:t xml:space="preserve">for </w:t>
      </w:r>
      <w:r w:rsidR="0063487C" w:rsidRPr="00500F57">
        <w:t>24</w:t>
      </w:r>
      <w:r w:rsidR="002D30BA">
        <w:t xml:space="preserve"> per cent</w:t>
      </w:r>
      <w:r w:rsidRPr="00500F57">
        <w:t xml:space="preserve"> of total estimated MET</w:t>
      </w:r>
      <w:r w:rsidR="00034EC7" w:rsidRPr="00500F57">
        <w:t xml:space="preserve"> hour</w:t>
      </w:r>
      <w:r w:rsidRPr="00500F57">
        <w:t>s.</w:t>
      </w:r>
    </w:p>
    <w:p w:rsidR="00D55005" w:rsidRPr="00500F57" w:rsidRDefault="00E37F9A" w:rsidP="002F27A9">
      <w:r w:rsidRPr="00500F57">
        <w:t xml:space="preserve">We know that rates of physical activity and </w:t>
      </w:r>
      <w:r w:rsidR="005404CC" w:rsidRPr="00500F57">
        <w:t>sedentary</w:t>
      </w:r>
      <w:r w:rsidRPr="00500F57">
        <w:t xml:space="preserve"> behaviours are not evenly distributed across the Australian and Victorian population. Higher socioeconomic status, living in metropolitan areas, being non-</w:t>
      </w:r>
      <w:r w:rsidR="000431F6">
        <w:t>I</w:t>
      </w:r>
      <w:r w:rsidRPr="00500F57">
        <w:t>ndigenous, living in neighbourhoods with high walkability and lower crime are all correlated to higher levels of physical activity</w:t>
      </w:r>
      <w:r w:rsidR="007719BC">
        <w:t xml:space="preserve"> (VicHealth, 2016)</w:t>
      </w:r>
      <w:r w:rsidRPr="00500F57">
        <w:t>.</w:t>
      </w:r>
      <w:r w:rsidR="00D55005" w:rsidRPr="00500F57">
        <w:t xml:space="preserve"> </w:t>
      </w:r>
      <w:r w:rsidRPr="00500F57">
        <w:t xml:space="preserve">We also know that </w:t>
      </w:r>
      <w:r w:rsidR="000431F6">
        <w:t>the</w:t>
      </w:r>
      <w:r w:rsidRPr="00500F57">
        <w:t xml:space="preserve"> physical activity of Victorians and Australians generally declines with age</w:t>
      </w:r>
      <w:r w:rsidR="000431F6">
        <w:t>,</w:t>
      </w:r>
      <w:r w:rsidR="00A31CC2" w:rsidRPr="00500F57">
        <w:t xml:space="preserve"> and that females of all ages </w:t>
      </w:r>
      <w:r w:rsidR="005404CC" w:rsidRPr="00500F57">
        <w:t>generally</w:t>
      </w:r>
      <w:r w:rsidR="00A31CC2" w:rsidRPr="00500F57">
        <w:t xml:space="preserve"> have lower physical activity rates than males</w:t>
      </w:r>
      <w:r w:rsidR="007719BC">
        <w:t xml:space="preserve"> (VicHealth, 2016)</w:t>
      </w:r>
      <w:r w:rsidRPr="00500F57">
        <w:t>.</w:t>
      </w:r>
    </w:p>
    <w:p w:rsidR="00D55005" w:rsidRPr="00500F57" w:rsidRDefault="00B917F7" w:rsidP="002F27A9">
      <w:r w:rsidRPr="00500F57">
        <w:t>Table</w:t>
      </w:r>
      <w:r w:rsidR="000431F6">
        <w:t>s</w:t>
      </w:r>
      <w:r w:rsidRPr="00500F57">
        <w:t xml:space="preserve"> 7</w:t>
      </w:r>
      <w:r w:rsidR="00770EE2" w:rsidRPr="00500F57">
        <w:t xml:space="preserve"> </w:t>
      </w:r>
      <w:r w:rsidR="000431F6">
        <w:t>and</w:t>
      </w:r>
      <w:r w:rsidR="000431F6" w:rsidRPr="00500F57">
        <w:t xml:space="preserve"> </w:t>
      </w:r>
      <w:r w:rsidRPr="00500F57">
        <w:t>Table 8</w:t>
      </w:r>
      <w:r w:rsidR="007F2813" w:rsidRPr="00500F57">
        <w:t xml:space="preserve"> show</w:t>
      </w:r>
      <w:r w:rsidR="00E37F9A" w:rsidRPr="00500F57">
        <w:t xml:space="preserve"> that many of these</w:t>
      </w:r>
      <w:r w:rsidR="007F2813" w:rsidRPr="00500F57">
        <w:t xml:space="preserve"> social, regional, economic and demographic</w:t>
      </w:r>
      <w:r w:rsidR="00E37F9A" w:rsidRPr="00500F57">
        <w:t xml:space="preserve"> factors are correlates with active recreation </w:t>
      </w:r>
      <w:r w:rsidR="007F2813" w:rsidRPr="00500F57">
        <w:t>participation, frequency and metabolic expenditure</w:t>
      </w:r>
      <w:r w:rsidR="00E37F9A" w:rsidRPr="00500F57">
        <w:t>.</w:t>
      </w:r>
    </w:p>
    <w:p w:rsidR="004C1FFD" w:rsidRDefault="004C1FFD">
      <w:pPr>
        <w:keepLines w:val="0"/>
        <w:spacing w:after="0" w:line="240" w:lineRule="auto"/>
        <w:rPr>
          <w:rFonts w:eastAsia="Times New Roman"/>
          <w:b/>
          <w:bCs/>
          <w:noProof/>
          <w:color w:val="53565A"/>
          <w:spacing w:val="0"/>
        </w:rPr>
      </w:pPr>
      <w:bookmarkStart w:id="64" w:name="_Ref463969696"/>
      <w:r>
        <w:br w:type="page"/>
      </w:r>
    </w:p>
    <w:p w:rsidR="00A00D1F" w:rsidRPr="00500F57" w:rsidRDefault="008F049B" w:rsidP="00737DF6">
      <w:pPr>
        <w:pStyle w:val="Caption"/>
      </w:pPr>
      <w:r w:rsidRPr="00500F57">
        <w:lastRenderedPageBreak/>
        <w:t>Table</w:t>
      </w:r>
      <w:bookmarkEnd w:id="64"/>
      <w:r w:rsidR="005A7653">
        <w:t xml:space="preserve"> 6</w:t>
      </w:r>
      <w:r w:rsidRPr="00500F57">
        <w:t>:</w:t>
      </w:r>
      <w:r w:rsidR="00D55005" w:rsidRPr="00500F57">
        <w:t xml:space="preserve"> </w:t>
      </w:r>
      <w:r w:rsidR="00A00D1F" w:rsidRPr="00500F57">
        <w:t xml:space="preserve">How </w:t>
      </w:r>
      <w:r w:rsidRPr="00500F57">
        <w:t xml:space="preserve">Victorians </w:t>
      </w:r>
      <w:r w:rsidR="00A00D1F" w:rsidRPr="00500F57">
        <w:t>exercise</w:t>
      </w:r>
      <w:r w:rsidR="0029673D" w:rsidRPr="00500F57">
        <w:t xml:space="preserve"> each year</w:t>
      </w:r>
    </w:p>
    <w:tbl>
      <w:tblPr>
        <w:tblStyle w:val="MJAnew"/>
        <w:tblW w:w="14458" w:type="dxa"/>
        <w:tblInd w:w="392" w:type="dxa"/>
        <w:tblLayout w:type="fixed"/>
        <w:tblLook w:val="0600" w:firstRow="0" w:lastRow="0" w:firstColumn="0" w:lastColumn="0" w:noHBand="1" w:noVBand="1"/>
      </w:tblPr>
      <w:tblGrid>
        <w:gridCol w:w="3118"/>
        <w:gridCol w:w="1260"/>
        <w:gridCol w:w="1260"/>
        <w:gridCol w:w="1260"/>
        <w:gridCol w:w="1260"/>
        <w:gridCol w:w="1260"/>
        <w:gridCol w:w="1260"/>
        <w:gridCol w:w="1260"/>
        <w:gridCol w:w="1260"/>
        <w:gridCol w:w="1260"/>
      </w:tblGrid>
      <w:tr w:rsidR="00AA7A06" w:rsidRPr="00F90D20" w:rsidTr="00B73093">
        <w:trPr>
          <w:trHeight w:val="775"/>
        </w:trPr>
        <w:tc>
          <w:tcPr>
            <w:tcW w:w="3118" w:type="dxa"/>
            <w:vAlign w:val="bottom"/>
            <w:hideMark/>
          </w:tcPr>
          <w:p w:rsidR="00AA7A06" w:rsidRPr="00B73093" w:rsidRDefault="00AA7A06" w:rsidP="002F27A9">
            <w:pPr>
              <w:pStyle w:val="Tablerow"/>
              <w:rPr>
                <w:b/>
              </w:rPr>
            </w:pPr>
            <w:r w:rsidRPr="00B73093">
              <w:rPr>
                <w:b/>
              </w:rPr>
              <w:t xml:space="preserve">Population (15+ years) </w:t>
            </w:r>
          </w:p>
          <w:p w:rsidR="00AA7A06" w:rsidRPr="00B73093" w:rsidRDefault="00AA7A06" w:rsidP="002F27A9">
            <w:pPr>
              <w:pStyle w:val="Tablerow"/>
              <w:rPr>
                <w:b/>
              </w:rPr>
            </w:pPr>
            <w:r w:rsidRPr="00B73093">
              <w:rPr>
                <w:b/>
              </w:rPr>
              <w:t>4.8 million</w:t>
            </w:r>
          </w:p>
        </w:tc>
        <w:tc>
          <w:tcPr>
            <w:tcW w:w="1260" w:type="dxa"/>
            <w:vAlign w:val="bottom"/>
            <w:hideMark/>
          </w:tcPr>
          <w:p w:rsidR="00AA7A06" w:rsidRPr="00B73093" w:rsidRDefault="00AA7A06" w:rsidP="002F27A9">
            <w:pPr>
              <w:pStyle w:val="Tablerow"/>
              <w:rPr>
                <w:b/>
              </w:rPr>
            </w:pPr>
            <w:r w:rsidRPr="00B73093">
              <w:rPr>
                <w:b/>
              </w:rPr>
              <w:t>Proportion of adult Victorians who exercised at least once</w:t>
            </w:r>
          </w:p>
        </w:tc>
        <w:tc>
          <w:tcPr>
            <w:tcW w:w="1260" w:type="dxa"/>
            <w:vAlign w:val="bottom"/>
            <w:hideMark/>
          </w:tcPr>
          <w:p w:rsidR="00AA7A06" w:rsidRPr="00B73093" w:rsidRDefault="00AA7A06" w:rsidP="002F27A9">
            <w:pPr>
              <w:pStyle w:val="Tablerow"/>
              <w:rPr>
                <w:b/>
              </w:rPr>
            </w:pPr>
            <w:r w:rsidRPr="00B73093">
              <w:rPr>
                <w:b/>
              </w:rPr>
              <w:t>Total activity sessions</w:t>
            </w:r>
          </w:p>
          <w:p w:rsidR="00AA7A06" w:rsidRPr="00B73093" w:rsidRDefault="00AA7A06" w:rsidP="002F27A9">
            <w:pPr>
              <w:pStyle w:val="Tablerow"/>
              <w:rPr>
                <w:b/>
              </w:rPr>
            </w:pPr>
            <w:r w:rsidRPr="00B73093">
              <w:rPr>
                <w:b/>
              </w:rPr>
              <w:t>(millions)</w:t>
            </w:r>
          </w:p>
        </w:tc>
        <w:tc>
          <w:tcPr>
            <w:tcW w:w="1260" w:type="dxa"/>
            <w:vAlign w:val="bottom"/>
          </w:tcPr>
          <w:p w:rsidR="00AA7A06" w:rsidRPr="00B73093" w:rsidRDefault="00AA7A06" w:rsidP="002F27A9">
            <w:pPr>
              <w:pStyle w:val="Tablerow"/>
              <w:rPr>
                <w:b/>
              </w:rPr>
            </w:pPr>
            <w:r w:rsidRPr="00B73093">
              <w:rPr>
                <w:b/>
              </w:rPr>
              <w:t>Total activity hours</w:t>
            </w:r>
          </w:p>
          <w:p w:rsidR="00AA7A06" w:rsidRPr="00B73093" w:rsidRDefault="00AA7A06" w:rsidP="002F27A9">
            <w:pPr>
              <w:pStyle w:val="Tablerow"/>
              <w:rPr>
                <w:b/>
              </w:rPr>
            </w:pPr>
            <w:r w:rsidRPr="00B73093">
              <w:rPr>
                <w:b/>
              </w:rPr>
              <w:t>(millions)</w:t>
            </w:r>
          </w:p>
        </w:tc>
        <w:tc>
          <w:tcPr>
            <w:tcW w:w="1260" w:type="dxa"/>
            <w:vAlign w:val="bottom"/>
          </w:tcPr>
          <w:p w:rsidR="00AA7A06" w:rsidRPr="00B73093" w:rsidRDefault="00AA7A06" w:rsidP="002F27A9">
            <w:pPr>
              <w:pStyle w:val="Tablerow"/>
              <w:rPr>
                <w:b/>
              </w:rPr>
            </w:pPr>
            <w:r w:rsidRPr="00B73093">
              <w:rPr>
                <w:b/>
              </w:rPr>
              <w:t>Total METs</w:t>
            </w:r>
          </w:p>
          <w:p w:rsidR="00AA7A06" w:rsidRPr="00B73093" w:rsidRDefault="00AA7A06" w:rsidP="002F27A9">
            <w:pPr>
              <w:pStyle w:val="Tablerow"/>
              <w:rPr>
                <w:b/>
              </w:rPr>
            </w:pPr>
            <w:r w:rsidRPr="00B73093">
              <w:rPr>
                <w:b/>
              </w:rPr>
              <w:t>(millions)</w:t>
            </w:r>
          </w:p>
        </w:tc>
        <w:tc>
          <w:tcPr>
            <w:tcW w:w="1260" w:type="dxa"/>
            <w:vAlign w:val="bottom"/>
            <w:hideMark/>
          </w:tcPr>
          <w:p w:rsidR="00AA7A06" w:rsidRPr="00B73093" w:rsidRDefault="00AA7A06" w:rsidP="002F27A9">
            <w:pPr>
              <w:pStyle w:val="Tablerow"/>
              <w:rPr>
                <w:b/>
              </w:rPr>
            </w:pPr>
            <w:r w:rsidRPr="00B73093">
              <w:rPr>
                <w:b/>
              </w:rPr>
              <w:t>Proportion of all activity sessions</w:t>
            </w:r>
          </w:p>
        </w:tc>
        <w:tc>
          <w:tcPr>
            <w:tcW w:w="1260" w:type="dxa"/>
            <w:vAlign w:val="bottom"/>
            <w:hideMark/>
          </w:tcPr>
          <w:p w:rsidR="00AA7A06" w:rsidRPr="00B73093" w:rsidRDefault="00AA7A06" w:rsidP="002F27A9">
            <w:pPr>
              <w:pStyle w:val="Tablerow"/>
              <w:rPr>
                <w:b/>
              </w:rPr>
            </w:pPr>
            <w:r w:rsidRPr="00B73093">
              <w:rPr>
                <w:b/>
              </w:rPr>
              <w:t>Proportion of activity sessions classified as active recreation</w:t>
            </w:r>
          </w:p>
        </w:tc>
        <w:tc>
          <w:tcPr>
            <w:tcW w:w="1260" w:type="dxa"/>
            <w:vAlign w:val="bottom"/>
          </w:tcPr>
          <w:p w:rsidR="00AA7A06" w:rsidRPr="00B73093" w:rsidRDefault="00AA7A06" w:rsidP="002F27A9">
            <w:pPr>
              <w:pStyle w:val="Tablerow"/>
              <w:rPr>
                <w:b/>
              </w:rPr>
            </w:pPr>
            <w:r w:rsidRPr="00B73093">
              <w:rPr>
                <w:b/>
              </w:rPr>
              <w:t>Estimated number of active recreation exercise sessions (millions)</w:t>
            </w:r>
          </w:p>
        </w:tc>
        <w:tc>
          <w:tcPr>
            <w:tcW w:w="1260" w:type="dxa"/>
            <w:vAlign w:val="bottom"/>
          </w:tcPr>
          <w:p w:rsidR="00AA7A06" w:rsidRPr="00B73093" w:rsidRDefault="00AA7A06" w:rsidP="002F27A9">
            <w:pPr>
              <w:pStyle w:val="Tablerow"/>
              <w:rPr>
                <w:b/>
              </w:rPr>
            </w:pPr>
            <w:r w:rsidRPr="00B73093">
              <w:rPr>
                <w:b/>
              </w:rPr>
              <w:t>Estimated number of active recreation exercise hours (millions)</w:t>
            </w:r>
          </w:p>
        </w:tc>
        <w:tc>
          <w:tcPr>
            <w:tcW w:w="1260" w:type="dxa"/>
            <w:vAlign w:val="bottom"/>
          </w:tcPr>
          <w:p w:rsidR="00AA7A06" w:rsidRPr="00B73093" w:rsidRDefault="00AA7A06" w:rsidP="002F27A9">
            <w:pPr>
              <w:pStyle w:val="Tablerow"/>
              <w:rPr>
                <w:b/>
              </w:rPr>
            </w:pPr>
            <w:r w:rsidRPr="00B73093">
              <w:rPr>
                <w:b/>
              </w:rPr>
              <w:t>Estimated active recreation METs</w:t>
            </w:r>
          </w:p>
          <w:p w:rsidR="00AA7A06" w:rsidRPr="00B73093" w:rsidRDefault="00AA7A06" w:rsidP="002F27A9">
            <w:pPr>
              <w:pStyle w:val="Tablerow"/>
              <w:rPr>
                <w:b/>
              </w:rPr>
            </w:pPr>
            <w:r w:rsidRPr="00B73093">
              <w:rPr>
                <w:b/>
              </w:rPr>
              <w:t>(millions)</w:t>
            </w:r>
          </w:p>
        </w:tc>
      </w:tr>
      <w:tr w:rsidR="00AA7A06" w:rsidRPr="00F90D20" w:rsidTr="00B73093">
        <w:trPr>
          <w:trHeight w:val="67"/>
        </w:trPr>
        <w:tc>
          <w:tcPr>
            <w:tcW w:w="3118" w:type="dxa"/>
            <w:vAlign w:val="bottom"/>
          </w:tcPr>
          <w:p w:rsidR="00AA7A06" w:rsidRPr="004C3B96" w:rsidRDefault="00AA7A06" w:rsidP="002F27A9">
            <w:pPr>
              <w:pStyle w:val="Tablerow"/>
            </w:pPr>
            <w:r w:rsidRPr="004C3B96">
              <w:t>Did not exercise in the past year</w:t>
            </w:r>
          </w:p>
        </w:tc>
        <w:tc>
          <w:tcPr>
            <w:tcW w:w="1260" w:type="dxa"/>
            <w:vAlign w:val="bottom"/>
          </w:tcPr>
          <w:p w:rsidR="00AA7A06" w:rsidRPr="004C3B96" w:rsidRDefault="00AA7A06" w:rsidP="002F27A9">
            <w:pPr>
              <w:pStyle w:val="Tablerow"/>
            </w:pPr>
            <w:r w:rsidRPr="004C3B96">
              <w:t>19%</w:t>
            </w:r>
          </w:p>
        </w:tc>
        <w:tc>
          <w:tcPr>
            <w:tcW w:w="1260" w:type="dxa"/>
          </w:tcPr>
          <w:p w:rsidR="00AA7A06" w:rsidRPr="004C3B96" w:rsidRDefault="00343AA2" w:rsidP="002F27A9">
            <w:pPr>
              <w:pStyle w:val="Tablerow"/>
            </w:pPr>
            <w:r>
              <w:t>-</w:t>
            </w:r>
          </w:p>
        </w:tc>
        <w:tc>
          <w:tcPr>
            <w:tcW w:w="1260" w:type="dxa"/>
          </w:tcPr>
          <w:p w:rsidR="00AA7A06" w:rsidRPr="004C3B96" w:rsidRDefault="00343AA2" w:rsidP="002F27A9">
            <w:pPr>
              <w:pStyle w:val="Tablerow"/>
            </w:pPr>
            <w:r>
              <w:t>-</w:t>
            </w:r>
          </w:p>
        </w:tc>
        <w:tc>
          <w:tcPr>
            <w:tcW w:w="1260" w:type="dxa"/>
          </w:tcPr>
          <w:p w:rsidR="00AA7A06" w:rsidRPr="004C3B96" w:rsidRDefault="00343AA2" w:rsidP="002F27A9">
            <w:pPr>
              <w:pStyle w:val="Tablerow"/>
            </w:pPr>
            <w:r>
              <w:t>-</w:t>
            </w:r>
          </w:p>
        </w:tc>
        <w:tc>
          <w:tcPr>
            <w:tcW w:w="1260" w:type="dxa"/>
            <w:vAlign w:val="bottom"/>
          </w:tcPr>
          <w:p w:rsidR="00AA7A06" w:rsidRPr="004C3B96" w:rsidRDefault="00343AA2" w:rsidP="002F27A9">
            <w:pPr>
              <w:pStyle w:val="Tablerow"/>
            </w:pPr>
            <w:r>
              <w:t>-</w:t>
            </w:r>
          </w:p>
        </w:tc>
        <w:tc>
          <w:tcPr>
            <w:tcW w:w="1260" w:type="dxa"/>
            <w:vAlign w:val="bottom"/>
          </w:tcPr>
          <w:p w:rsidR="00AA7A06" w:rsidRPr="004C3B96" w:rsidRDefault="00343AA2" w:rsidP="002F27A9">
            <w:pPr>
              <w:pStyle w:val="Tablerow"/>
            </w:pPr>
            <w:r>
              <w:t>-</w:t>
            </w:r>
          </w:p>
        </w:tc>
        <w:tc>
          <w:tcPr>
            <w:tcW w:w="1260" w:type="dxa"/>
          </w:tcPr>
          <w:p w:rsidR="00AA7A06" w:rsidRPr="004C3B96" w:rsidRDefault="00343AA2" w:rsidP="002F27A9">
            <w:pPr>
              <w:pStyle w:val="Tablerow"/>
            </w:pPr>
            <w:r>
              <w:t>-</w:t>
            </w:r>
          </w:p>
        </w:tc>
        <w:tc>
          <w:tcPr>
            <w:tcW w:w="1260" w:type="dxa"/>
          </w:tcPr>
          <w:p w:rsidR="00AA7A06" w:rsidRPr="004C3B96" w:rsidRDefault="00343AA2" w:rsidP="002F27A9">
            <w:pPr>
              <w:pStyle w:val="Tablerow"/>
            </w:pPr>
            <w:r>
              <w:t>-</w:t>
            </w:r>
          </w:p>
        </w:tc>
        <w:tc>
          <w:tcPr>
            <w:tcW w:w="1260" w:type="dxa"/>
          </w:tcPr>
          <w:p w:rsidR="00AA7A06" w:rsidRPr="004C3B96" w:rsidRDefault="00343AA2" w:rsidP="002F27A9">
            <w:pPr>
              <w:pStyle w:val="Tablerow"/>
            </w:pPr>
            <w:r>
              <w:t>-</w:t>
            </w:r>
          </w:p>
        </w:tc>
      </w:tr>
      <w:tr w:rsidR="00AA7A06" w:rsidRPr="00F90D20" w:rsidTr="00B73093">
        <w:trPr>
          <w:trHeight w:val="67"/>
        </w:trPr>
        <w:tc>
          <w:tcPr>
            <w:tcW w:w="3118" w:type="dxa"/>
            <w:vAlign w:val="bottom"/>
          </w:tcPr>
          <w:p w:rsidR="00AA7A06" w:rsidRPr="004C3B96" w:rsidRDefault="00AA7A06" w:rsidP="002F27A9">
            <w:pPr>
              <w:pStyle w:val="Tablerow"/>
            </w:pPr>
            <w:r w:rsidRPr="004C3B96">
              <w:t>Total</w:t>
            </w:r>
          </w:p>
        </w:tc>
        <w:tc>
          <w:tcPr>
            <w:tcW w:w="1260" w:type="dxa"/>
            <w:vAlign w:val="bottom"/>
          </w:tcPr>
          <w:p w:rsidR="00AA7A06" w:rsidRPr="004C3B96" w:rsidRDefault="00AA7A06" w:rsidP="002F27A9">
            <w:pPr>
              <w:pStyle w:val="Tablerow"/>
            </w:pPr>
            <w:r w:rsidRPr="004C3B96">
              <w:t>81%</w:t>
            </w:r>
          </w:p>
        </w:tc>
        <w:tc>
          <w:tcPr>
            <w:tcW w:w="1260" w:type="dxa"/>
          </w:tcPr>
          <w:p w:rsidR="00AA7A06" w:rsidRPr="004C3B96" w:rsidRDefault="00AA7A06" w:rsidP="002F27A9">
            <w:pPr>
              <w:pStyle w:val="Tablerow"/>
            </w:pPr>
            <w:r w:rsidRPr="004C3B96">
              <w:t>837</w:t>
            </w:r>
          </w:p>
        </w:tc>
        <w:tc>
          <w:tcPr>
            <w:tcW w:w="1260" w:type="dxa"/>
          </w:tcPr>
          <w:p w:rsidR="00AA7A06" w:rsidRPr="004C3B96" w:rsidRDefault="00AA7A06" w:rsidP="002F27A9">
            <w:pPr>
              <w:pStyle w:val="Tablerow"/>
            </w:pPr>
            <w:r w:rsidRPr="004C3B96">
              <w:t>774</w:t>
            </w:r>
          </w:p>
        </w:tc>
        <w:tc>
          <w:tcPr>
            <w:tcW w:w="1260" w:type="dxa"/>
          </w:tcPr>
          <w:p w:rsidR="00AA7A06" w:rsidRPr="004C3B96" w:rsidRDefault="00AA7A06" w:rsidP="002F27A9">
            <w:pPr>
              <w:pStyle w:val="Tablerow"/>
            </w:pPr>
            <w:r w:rsidRPr="004C3B96">
              <w:t>4,169</w:t>
            </w:r>
          </w:p>
        </w:tc>
        <w:tc>
          <w:tcPr>
            <w:tcW w:w="1260" w:type="dxa"/>
            <w:vAlign w:val="bottom"/>
          </w:tcPr>
          <w:p w:rsidR="00AA7A06" w:rsidRPr="004C3B96" w:rsidRDefault="00AA7A06" w:rsidP="002F27A9">
            <w:pPr>
              <w:pStyle w:val="Tablerow"/>
            </w:pPr>
          </w:p>
        </w:tc>
        <w:tc>
          <w:tcPr>
            <w:tcW w:w="1260" w:type="dxa"/>
            <w:vAlign w:val="bottom"/>
          </w:tcPr>
          <w:p w:rsidR="00AA7A06" w:rsidRPr="004C3B96" w:rsidRDefault="00AA7A06" w:rsidP="002F27A9">
            <w:pPr>
              <w:pStyle w:val="Tablerow"/>
            </w:pPr>
            <w:r w:rsidRPr="004C3B96">
              <w:t>87%</w:t>
            </w:r>
          </w:p>
        </w:tc>
        <w:tc>
          <w:tcPr>
            <w:tcW w:w="1260" w:type="dxa"/>
          </w:tcPr>
          <w:p w:rsidR="00AA7A06" w:rsidRPr="004C3B96" w:rsidRDefault="00AA7A06" w:rsidP="002F27A9">
            <w:pPr>
              <w:pStyle w:val="Tablerow"/>
            </w:pPr>
            <w:r w:rsidRPr="004C3B96">
              <w:t>726</w:t>
            </w:r>
          </w:p>
        </w:tc>
        <w:tc>
          <w:tcPr>
            <w:tcW w:w="1260" w:type="dxa"/>
          </w:tcPr>
          <w:p w:rsidR="00AA7A06" w:rsidRPr="004C3B96" w:rsidRDefault="00AA7A06" w:rsidP="002F27A9">
            <w:pPr>
              <w:pStyle w:val="Tablerow"/>
            </w:pPr>
            <w:r w:rsidRPr="004C3B96">
              <w:t>612</w:t>
            </w:r>
          </w:p>
        </w:tc>
        <w:tc>
          <w:tcPr>
            <w:tcW w:w="1260" w:type="dxa"/>
          </w:tcPr>
          <w:p w:rsidR="00AA7A06" w:rsidRPr="004C3B96" w:rsidRDefault="00AA7A06" w:rsidP="002F27A9">
            <w:pPr>
              <w:pStyle w:val="Tablerow"/>
            </w:pPr>
            <w:r w:rsidRPr="004C3B96">
              <w:t>3,071</w:t>
            </w:r>
          </w:p>
        </w:tc>
      </w:tr>
      <w:tr w:rsidR="00AA7A06" w:rsidRPr="00F90D20" w:rsidTr="00B73093">
        <w:trPr>
          <w:trHeight w:val="67"/>
        </w:trPr>
        <w:tc>
          <w:tcPr>
            <w:tcW w:w="3118" w:type="dxa"/>
            <w:vAlign w:val="bottom"/>
            <w:hideMark/>
          </w:tcPr>
          <w:p w:rsidR="00AA7A06" w:rsidRPr="004C3B96" w:rsidRDefault="00AA7A06" w:rsidP="002F27A9">
            <w:pPr>
              <w:pStyle w:val="Tablerow"/>
            </w:pPr>
            <w:r w:rsidRPr="004C3B96">
              <w:t>Walking—other</w:t>
            </w:r>
          </w:p>
        </w:tc>
        <w:tc>
          <w:tcPr>
            <w:tcW w:w="1260" w:type="dxa"/>
            <w:vAlign w:val="bottom"/>
          </w:tcPr>
          <w:p w:rsidR="00AA7A06" w:rsidRPr="004C3B96" w:rsidRDefault="00AA7A06" w:rsidP="002F27A9">
            <w:pPr>
              <w:pStyle w:val="Tablerow"/>
            </w:pPr>
            <w:r w:rsidRPr="004C3B96">
              <w:t>41%</w:t>
            </w:r>
          </w:p>
        </w:tc>
        <w:tc>
          <w:tcPr>
            <w:tcW w:w="1260" w:type="dxa"/>
          </w:tcPr>
          <w:p w:rsidR="00AA7A06" w:rsidRPr="004C3B96" w:rsidRDefault="00AA7A06" w:rsidP="002F27A9">
            <w:pPr>
              <w:pStyle w:val="Tablerow"/>
            </w:pPr>
            <w:r w:rsidRPr="004C3B96">
              <w:t>368</w:t>
            </w:r>
          </w:p>
        </w:tc>
        <w:tc>
          <w:tcPr>
            <w:tcW w:w="1260" w:type="dxa"/>
          </w:tcPr>
          <w:p w:rsidR="00AA7A06" w:rsidRPr="004C3B96" w:rsidRDefault="00AA7A06" w:rsidP="002F27A9">
            <w:pPr>
              <w:pStyle w:val="Tablerow"/>
            </w:pPr>
            <w:r w:rsidRPr="004C3B96">
              <w:t>285</w:t>
            </w:r>
          </w:p>
        </w:tc>
        <w:tc>
          <w:tcPr>
            <w:tcW w:w="1260" w:type="dxa"/>
          </w:tcPr>
          <w:p w:rsidR="00AA7A06" w:rsidRPr="004C3B96" w:rsidRDefault="00AA7A06" w:rsidP="002F27A9">
            <w:pPr>
              <w:pStyle w:val="Tablerow"/>
            </w:pPr>
            <w:r w:rsidRPr="004C3B96">
              <w:t>999</w:t>
            </w:r>
          </w:p>
        </w:tc>
        <w:tc>
          <w:tcPr>
            <w:tcW w:w="1260" w:type="dxa"/>
            <w:vAlign w:val="bottom"/>
          </w:tcPr>
          <w:p w:rsidR="00AA7A06" w:rsidRPr="004C3B96" w:rsidRDefault="00AA7A06" w:rsidP="002F27A9">
            <w:pPr>
              <w:pStyle w:val="Tablerow"/>
            </w:pPr>
            <w:r w:rsidRPr="004C3B96">
              <w:t>44%</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368</w:t>
            </w:r>
          </w:p>
        </w:tc>
        <w:tc>
          <w:tcPr>
            <w:tcW w:w="1260" w:type="dxa"/>
          </w:tcPr>
          <w:p w:rsidR="00AA7A06" w:rsidRPr="004C3B96" w:rsidRDefault="00AA7A06" w:rsidP="002F27A9">
            <w:pPr>
              <w:pStyle w:val="Tablerow"/>
            </w:pPr>
            <w:r w:rsidRPr="004C3B96">
              <w:t>285</w:t>
            </w:r>
          </w:p>
        </w:tc>
        <w:tc>
          <w:tcPr>
            <w:tcW w:w="1260" w:type="dxa"/>
          </w:tcPr>
          <w:p w:rsidR="00AA7A06" w:rsidRPr="004C3B96" w:rsidRDefault="00AA7A06" w:rsidP="002F27A9">
            <w:pPr>
              <w:pStyle w:val="Tablerow"/>
            </w:pPr>
            <w:r w:rsidRPr="004C3B96">
              <w:t>999</w:t>
            </w:r>
          </w:p>
        </w:tc>
      </w:tr>
      <w:tr w:rsidR="00AA7A06" w:rsidRPr="00F90D20" w:rsidTr="00B73093">
        <w:trPr>
          <w:trHeight w:val="67"/>
        </w:trPr>
        <w:tc>
          <w:tcPr>
            <w:tcW w:w="3118" w:type="dxa"/>
            <w:vAlign w:val="bottom"/>
            <w:hideMark/>
          </w:tcPr>
          <w:p w:rsidR="00AA7A06" w:rsidRPr="004C3B96" w:rsidRDefault="00AA7A06" w:rsidP="002F27A9">
            <w:pPr>
              <w:pStyle w:val="Tablerow"/>
            </w:pPr>
            <w:r w:rsidRPr="004C3B96">
              <w:t>Gymnasium workouts</w:t>
            </w:r>
          </w:p>
        </w:tc>
        <w:tc>
          <w:tcPr>
            <w:tcW w:w="1260" w:type="dxa"/>
            <w:vAlign w:val="bottom"/>
          </w:tcPr>
          <w:p w:rsidR="00AA7A06" w:rsidRPr="004C3B96" w:rsidRDefault="00AA7A06" w:rsidP="002F27A9">
            <w:pPr>
              <w:pStyle w:val="Tablerow"/>
            </w:pPr>
            <w:r w:rsidRPr="004C3B96">
              <w:t>15%</w:t>
            </w:r>
          </w:p>
        </w:tc>
        <w:tc>
          <w:tcPr>
            <w:tcW w:w="1260" w:type="dxa"/>
          </w:tcPr>
          <w:p w:rsidR="00AA7A06" w:rsidRPr="004C3B96" w:rsidRDefault="00AA7A06" w:rsidP="002F27A9">
            <w:pPr>
              <w:pStyle w:val="Tablerow"/>
            </w:pPr>
            <w:r w:rsidRPr="004C3B96">
              <w:t>83</w:t>
            </w:r>
          </w:p>
        </w:tc>
        <w:tc>
          <w:tcPr>
            <w:tcW w:w="1260" w:type="dxa"/>
          </w:tcPr>
          <w:p w:rsidR="00AA7A06" w:rsidRPr="004C3B96" w:rsidRDefault="00AA7A06" w:rsidP="002F27A9">
            <w:pPr>
              <w:pStyle w:val="Tablerow"/>
            </w:pPr>
            <w:r w:rsidRPr="004C3B96">
              <w:t>67</w:t>
            </w:r>
          </w:p>
        </w:tc>
        <w:tc>
          <w:tcPr>
            <w:tcW w:w="1260" w:type="dxa"/>
          </w:tcPr>
          <w:p w:rsidR="00AA7A06" w:rsidRPr="004C3B96" w:rsidRDefault="00AA7A06" w:rsidP="002F27A9">
            <w:pPr>
              <w:pStyle w:val="Tablerow"/>
            </w:pPr>
            <w:r w:rsidRPr="004C3B96">
              <w:t>370</w:t>
            </w:r>
          </w:p>
        </w:tc>
        <w:tc>
          <w:tcPr>
            <w:tcW w:w="1260" w:type="dxa"/>
            <w:vAlign w:val="bottom"/>
          </w:tcPr>
          <w:p w:rsidR="00AA7A06" w:rsidRPr="004C3B96" w:rsidRDefault="00AA7A06" w:rsidP="002F27A9">
            <w:pPr>
              <w:pStyle w:val="Tablerow"/>
            </w:pPr>
            <w:r w:rsidRPr="004C3B96">
              <w:t>10%</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83</w:t>
            </w:r>
          </w:p>
        </w:tc>
        <w:tc>
          <w:tcPr>
            <w:tcW w:w="1260" w:type="dxa"/>
          </w:tcPr>
          <w:p w:rsidR="00AA7A06" w:rsidRPr="004C3B96" w:rsidRDefault="00AA7A06" w:rsidP="002F27A9">
            <w:pPr>
              <w:pStyle w:val="Tablerow"/>
            </w:pPr>
            <w:r w:rsidRPr="004C3B96">
              <w:t>67</w:t>
            </w:r>
          </w:p>
        </w:tc>
        <w:tc>
          <w:tcPr>
            <w:tcW w:w="1260" w:type="dxa"/>
          </w:tcPr>
          <w:p w:rsidR="00AA7A06" w:rsidRPr="004C3B96" w:rsidRDefault="00AA7A06" w:rsidP="002F27A9">
            <w:pPr>
              <w:pStyle w:val="Tablerow"/>
            </w:pPr>
            <w:r w:rsidRPr="004C3B96">
              <w:t>370</w:t>
            </w:r>
          </w:p>
        </w:tc>
      </w:tr>
      <w:tr w:rsidR="00AA7A06" w:rsidRPr="00F90D20" w:rsidTr="00B73093">
        <w:trPr>
          <w:trHeight w:val="67"/>
        </w:trPr>
        <w:tc>
          <w:tcPr>
            <w:tcW w:w="3118" w:type="dxa"/>
            <w:vAlign w:val="bottom"/>
            <w:hideMark/>
          </w:tcPr>
          <w:p w:rsidR="00AA7A06" w:rsidRPr="004C3B96" w:rsidRDefault="00AA7A06" w:rsidP="002F27A9">
            <w:pPr>
              <w:pStyle w:val="Tablerow"/>
            </w:pPr>
            <w:r w:rsidRPr="004C3B96">
              <w:t>Swimming</w:t>
            </w:r>
          </w:p>
        </w:tc>
        <w:tc>
          <w:tcPr>
            <w:tcW w:w="1260" w:type="dxa"/>
            <w:vAlign w:val="bottom"/>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32</w:t>
            </w:r>
          </w:p>
        </w:tc>
        <w:tc>
          <w:tcPr>
            <w:tcW w:w="1260" w:type="dxa"/>
          </w:tcPr>
          <w:p w:rsidR="00AA7A06" w:rsidRPr="004C3B96" w:rsidRDefault="00AA7A06" w:rsidP="002F27A9">
            <w:pPr>
              <w:pStyle w:val="Tablerow"/>
            </w:pPr>
            <w:r w:rsidRPr="004C3B96">
              <w:t>20</w:t>
            </w:r>
          </w:p>
        </w:tc>
        <w:tc>
          <w:tcPr>
            <w:tcW w:w="1260" w:type="dxa"/>
          </w:tcPr>
          <w:p w:rsidR="00AA7A06" w:rsidRPr="004C3B96" w:rsidRDefault="00AA7A06" w:rsidP="002F27A9">
            <w:pPr>
              <w:pStyle w:val="Tablerow"/>
            </w:pPr>
            <w:r w:rsidRPr="004C3B96">
              <w:t>166</w:t>
            </w:r>
          </w:p>
        </w:tc>
        <w:tc>
          <w:tcPr>
            <w:tcW w:w="1260" w:type="dxa"/>
            <w:vAlign w:val="bottom"/>
          </w:tcPr>
          <w:p w:rsidR="00AA7A06" w:rsidRPr="004C3B96" w:rsidRDefault="00AA7A06" w:rsidP="002F27A9">
            <w:pPr>
              <w:pStyle w:val="Tablerow"/>
            </w:pPr>
            <w:r w:rsidRPr="004C3B96">
              <w:t>4%</w:t>
            </w:r>
          </w:p>
        </w:tc>
        <w:tc>
          <w:tcPr>
            <w:tcW w:w="1260" w:type="dxa"/>
            <w:vAlign w:val="bottom"/>
          </w:tcPr>
          <w:p w:rsidR="00AA7A06" w:rsidRPr="004C3B96" w:rsidRDefault="00AA7A06" w:rsidP="002F27A9">
            <w:pPr>
              <w:pStyle w:val="Tablerow"/>
            </w:pPr>
            <w:r w:rsidRPr="004C3B96">
              <w:t>82%</w:t>
            </w:r>
          </w:p>
        </w:tc>
        <w:tc>
          <w:tcPr>
            <w:tcW w:w="1260" w:type="dxa"/>
          </w:tcPr>
          <w:p w:rsidR="00AA7A06" w:rsidRPr="004C3B96" w:rsidRDefault="00AA7A06" w:rsidP="002F27A9">
            <w:pPr>
              <w:pStyle w:val="Tablerow"/>
            </w:pPr>
            <w:r w:rsidRPr="004C3B96">
              <w:t>27</w:t>
            </w:r>
          </w:p>
        </w:tc>
        <w:tc>
          <w:tcPr>
            <w:tcW w:w="1260" w:type="dxa"/>
          </w:tcPr>
          <w:p w:rsidR="00AA7A06" w:rsidRPr="004C3B96" w:rsidRDefault="00AA7A06" w:rsidP="002F27A9">
            <w:pPr>
              <w:pStyle w:val="Tablerow"/>
            </w:pPr>
            <w:r w:rsidRPr="004C3B96">
              <w:t>15</w:t>
            </w:r>
          </w:p>
        </w:tc>
        <w:tc>
          <w:tcPr>
            <w:tcW w:w="1260" w:type="dxa"/>
          </w:tcPr>
          <w:p w:rsidR="00AA7A06" w:rsidRPr="004C3B96" w:rsidRDefault="00AA7A06" w:rsidP="002F27A9">
            <w:pPr>
              <w:pStyle w:val="Tablerow"/>
            </w:pPr>
            <w:r w:rsidRPr="004C3B96">
              <w:t>125</w:t>
            </w:r>
          </w:p>
        </w:tc>
      </w:tr>
      <w:tr w:rsidR="00AA7A06" w:rsidRPr="00F90D20" w:rsidTr="00B73093">
        <w:trPr>
          <w:trHeight w:val="67"/>
        </w:trPr>
        <w:tc>
          <w:tcPr>
            <w:tcW w:w="3118" w:type="dxa"/>
            <w:vAlign w:val="bottom"/>
            <w:hideMark/>
          </w:tcPr>
          <w:p w:rsidR="00AA7A06" w:rsidRPr="004C3B96" w:rsidRDefault="00AA7A06" w:rsidP="002F27A9">
            <w:pPr>
              <w:pStyle w:val="Tablerow"/>
            </w:pPr>
            <w:r w:rsidRPr="004C3B96">
              <w:t>Cycling</w:t>
            </w:r>
          </w:p>
        </w:tc>
        <w:tc>
          <w:tcPr>
            <w:tcW w:w="1260" w:type="dxa"/>
            <w:vAlign w:val="bottom"/>
          </w:tcPr>
          <w:p w:rsidR="00AA7A06" w:rsidRPr="004C3B96" w:rsidRDefault="00AA7A06" w:rsidP="002F27A9">
            <w:pPr>
              <w:pStyle w:val="Tablerow"/>
            </w:pPr>
            <w:r w:rsidRPr="004C3B96">
              <w:t>11%</w:t>
            </w:r>
          </w:p>
        </w:tc>
        <w:tc>
          <w:tcPr>
            <w:tcW w:w="1260" w:type="dxa"/>
          </w:tcPr>
          <w:p w:rsidR="00AA7A06" w:rsidRPr="004C3B96" w:rsidRDefault="00AA7A06" w:rsidP="002F27A9">
            <w:pPr>
              <w:pStyle w:val="Tablerow"/>
            </w:pPr>
            <w:r w:rsidRPr="004C3B96">
              <w:t>45</w:t>
            </w:r>
          </w:p>
        </w:tc>
        <w:tc>
          <w:tcPr>
            <w:tcW w:w="1260" w:type="dxa"/>
          </w:tcPr>
          <w:p w:rsidR="00AA7A06" w:rsidRPr="004C3B96" w:rsidRDefault="00AA7A06" w:rsidP="002F27A9">
            <w:pPr>
              <w:pStyle w:val="Tablerow"/>
            </w:pPr>
            <w:r w:rsidRPr="004C3B96">
              <w:t>37</w:t>
            </w:r>
          </w:p>
        </w:tc>
        <w:tc>
          <w:tcPr>
            <w:tcW w:w="1260" w:type="dxa"/>
          </w:tcPr>
          <w:p w:rsidR="00AA7A06" w:rsidRPr="004C3B96" w:rsidRDefault="00AA7A06" w:rsidP="002F27A9">
            <w:pPr>
              <w:pStyle w:val="Tablerow"/>
            </w:pPr>
            <w:r w:rsidRPr="004C3B96">
              <w:t>322</w:t>
            </w:r>
          </w:p>
        </w:tc>
        <w:tc>
          <w:tcPr>
            <w:tcW w:w="1260" w:type="dxa"/>
            <w:vAlign w:val="bottom"/>
          </w:tcPr>
          <w:p w:rsidR="00AA7A06" w:rsidRPr="004C3B96" w:rsidRDefault="00AA7A06" w:rsidP="002F27A9">
            <w:pPr>
              <w:pStyle w:val="Tablerow"/>
            </w:pPr>
            <w:r w:rsidRPr="004C3B96">
              <w:t>5%</w:t>
            </w:r>
          </w:p>
        </w:tc>
        <w:tc>
          <w:tcPr>
            <w:tcW w:w="1260" w:type="dxa"/>
            <w:vAlign w:val="bottom"/>
          </w:tcPr>
          <w:p w:rsidR="00AA7A06" w:rsidRPr="004C3B96" w:rsidRDefault="00AA7A06" w:rsidP="002F27A9">
            <w:pPr>
              <w:pStyle w:val="Tablerow"/>
            </w:pPr>
            <w:r w:rsidRPr="004C3B96">
              <w:t>85%</w:t>
            </w:r>
          </w:p>
        </w:tc>
        <w:tc>
          <w:tcPr>
            <w:tcW w:w="1260" w:type="dxa"/>
          </w:tcPr>
          <w:p w:rsidR="00AA7A06" w:rsidRPr="004C3B96" w:rsidRDefault="00AA7A06" w:rsidP="002F27A9">
            <w:pPr>
              <w:pStyle w:val="Tablerow"/>
            </w:pPr>
            <w:r w:rsidRPr="004C3B96">
              <w:t>39</w:t>
            </w:r>
          </w:p>
        </w:tc>
        <w:tc>
          <w:tcPr>
            <w:tcW w:w="1260" w:type="dxa"/>
          </w:tcPr>
          <w:p w:rsidR="00AA7A06" w:rsidRPr="004C3B96" w:rsidRDefault="00AA7A06" w:rsidP="002F27A9">
            <w:pPr>
              <w:pStyle w:val="Tablerow"/>
            </w:pPr>
            <w:r w:rsidRPr="004C3B96">
              <w:t>28</w:t>
            </w:r>
          </w:p>
        </w:tc>
        <w:tc>
          <w:tcPr>
            <w:tcW w:w="1260" w:type="dxa"/>
          </w:tcPr>
          <w:p w:rsidR="00AA7A06" w:rsidRPr="004C3B96" w:rsidRDefault="00AA7A06" w:rsidP="002F27A9">
            <w:pPr>
              <w:pStyle w:val="Tablerow"/>
            </w:pPr>
            <w:r w:rsidRPr="004C3B96">
              <w:t>207</w:t>
            </w:r>
          </w:p>
        </w:tc>
      </w:tr>
      <w:tr w:rsidR="00AA7A06" w:rsidRPr="00F90D20" w:rsidTr="00B73093">
        <w:trPr>
          <w:trHeight w:val="67"/>
        </w:trPr>
        <w:tc>
          <w:tcPr>
            <w:tcW w:w="3118" w:type="dxa"/>
            <w:vAlign w:val="bottom"/>
            <w:hideMark/>
          </w:tcPr>
          <w:p w:rsidR="00AA7A06" w:rsidRPr="004C3B96" w:rsidRDefault="00AA7A06" w:rsidP="002F27A9">
            <w:pPr>
              <w:pStyle w:val="Tablerow"/>
            </w:pPr>
            <w:r w:rsidRPr="004C3B96">
              <w:t>Golf</w:t>
            </w:r>
          </w:p>
        </w:tc>
        <w:tc>
          <w:tcPr>
            <w:tcW w:w="1260" w:type="dxa"/>
            <w:vAlign w:val="bottom"/>
          </w:tcPr>
          <w:p w:rsidR="00AA7A06" w:rsidRPr="004C3B96" w:rsidRDefault="00AA7A06" w:rsidP="002F27A9">
            <w:pPr>
              <w:pStyle w:val="Tablerow"/>
            </w:pPr>
            <w:r w:rsidRPr="004C3B96">
              <w:t>7%</w:t>
            </w:r>
          </w:p>
        </w:tc>
        <w:tc>
          <w:tcPr>
            <w:tcW w:w="1260" w:type="dxa"/>
          </w:tcPr>
          <w:p w:rsidR="00AA7A06" w:rsidRPr="004C3B96" w:rsidRDefault="00AA7A06" w:rsidP="002F27A9">
            <w:pPr>
              <w:pStyle w:val="Tablerow"/>
            </w:pPr>
            <w:r w:rsidRPr="004C3B96">
              <w:t>16</w:t>
            </w:r>
          </w:p>
        </w:tc>
        <w:tc>
          <w:tcPr>
            <w:tcW w:w="1260" w:type="dxa"/>
          </w:tcPr>
          <w:p w:rsidR="00AA7A06" w:rsidRPr="004C3B96" w:rsidRDefault="00AA7A06" w:rsidP="002F27A9">
            <w:pPr>
              <w:pStyle w:val="Tablerow"/>
            </w:pPr>
            <w:r w:rsidRPr="004C3B96">
              <w:t>51</w:t>
            </w:r>
          </w:p>
        </w:tc>
        <w:tc>
          <w:tcPr>
            <w:tcW w:w="1260" w:type="dxa"/>
          </w:tcPr>
          <w:p w:rsidR="00AA7A06" w:rsidRPr="004C3B96" w:rsidRDefault="00AA7A06" w:rsidP="002F27A9">
            <w:pPr>
              <w:pStyle w:val="Tablerow"/>
            </w:pPr>
            <w:r w:rsidRPr="004C3B96">
              <w:t>245</w:t>
            </w:r>
          </w:p>
        </w:tc>
        <w:tc>
          <w:tcPr>
            <w:tcW w:w="1260" w:type="dxa"/>
            <w:vAlign w:val="bottom"/>
          </w:tcPr>
          <w:p w:rsidR="00AA7A06" w:rsidRPr="004C3B96" w:rsidRDefault="00AA7A06" w:rsidP="002F27A9">
            <w:pPr>
              <w:pStyle w:val="Tablerow"/>
            </w:pPr>
            <w:r w:rsidRPr="004C3B96">
              <w:t>2%</w:t>
            </w:r>
          </w:p>
        </w:tc>
        <w:tc>
          <w:tcPr>
            <w:tcW w:w="1260" w:type="dxa"/>
            <w:vAlign w:val="bottom"/>
          </w:tcPr>
          <w:p w:rsidR="00AA7A06" w:rsidRPr="004C3B96" w:rsidRDefault="00AA7A06" w:rsidP="002F27A9">
            <w:pPr>
              <w:pStyle w:val="Tablerow"/>
            </w:pPr>
            <w:r w:rsidRPr="004C3B96">
              <w:t>75%</w:t>
            </w:r>
          </w:p>
        </w:tc>
        <w:tc>
          <w:tcPr>
            <w:tcW w:w="1260" w:type="dxa"/>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38</w:t>
            </w:r>
          </w:p>
        </w:tc>
        <w:tc>
          <w:tcPr>
            <w:tcW w:w="1260" w:type="dxa"/>
          </w:tcPr>
          <w:p w:rsidR="00AA7A06" w:rsidRPr="004C3B96" w:rsidRDefault="00AA7A06" w:rsidP="002F27A9">
            <w:pPr>
              <w:pStyle w:val="Tablerow"/>
            </w:pPr>
            <w:r w:rsidRPr="004C3B96">
              <w:t>184</w:t>
            </w:r>
          </w:p>
        </w:tc>
      </w:tr>
      <w:tr w:rsidR="00AA7A06" w:rsidRPr="00F90D20" w:rsidTr="00B73093">
        <w:trPr>
          <w:trHeight w:val="67"/>
        </w:trPr>
        <w:tc>
          <w:tcPr>
            <w:tcW w:w="3118" w:type="dxa"/>
            <w:vAlign w:val="bottom"/>
            <w:hideMark/>
          </w:tcPr>
          <w:p w:rsidR="00AA7A06" w:rsidRPr="004C3B96" w:rsidRDefault="00AA7A06" w:rsidP="002F27A9">
            <w:pPr>
              <w:pStyle w:val="Tablerow"/>
            </w:pPr>
            <w:r w:rsidRPr="004C3B96">
              <w:t>Aerobics/exercising/other</w:t>
            </w:r>
          </w:p>
        </w:tc>
        <w:tc>
          <w:tcPr>
            <w:tcW w:w="1260" w:type="dxa"/>
            <w:vAlign w:val="bottom"/>
          </w:tcPr>
          <w:p w:rsidR="00AA7A06" w:rsidRPr="004C3B96" w:rsidRDefault="00AA7A06" w:rsidP="002F27A9">
            <w:pPr>
              <w:pStyle w:val="Tablerow"/>
            </w:pPr>
            <w:r w:rsidRPr="004C3B96">
              <w:t>7%</w:t>
            </w:r>
          </w:p>
        </w:tc>
        <w:tc>
          <w:tcPr>
            <w:tcW w:w="1260" w:type="dxa"/>
          </w:tcPr>
          <w:p w:rsidR="00AA7A06" w:rsidRPr="004C3B96" w:rsidRDefault="00AA7A06" w:rsidP="002F27A9">
            <w:pPr>
              <w:pStyle w:val="Tablerow"/>
            </w:pPr>
            <w:r w:rsidRPr="004C3B96">
              <w:t>39</w:t>
            </w:r>
          </w:p>
        </w:tc>
        <w:tc>
          <w:tcPr>
            <w:tcW w:w="1260" w:type="dxa"/>
          </w:tcPr>
          <w:p w:rsidR="00AA7A06" w:rsidRPr="004C3B96" w:rsidRDefault="00AA7A06" w:rsidP="002F27A9">
            <w:pPr>
              <w:pStyle w:val="Tablerow"/>
            </w:pPr>
            <w:r w:rsidRPr="004C3B96">
              <w:t>22</w:t>
            </w:r>
          </w:p>
        </w:tc>
        <w:tc>
          <w:tcPr>
            <w:tcW w:w="1260" w:type="dxa"/>
          </w:tcPr>
          <w:p w:rsidR="00AA7A06" w:rsidRPr="004C3B96" w:rsidRDefault="00AA7A06" w:rsidP="002F27A9">
            <w:pPr>
              <w:pStyle w:val="Tablerow"/>
            </w:pPr>
            <w:r w:rsidRPr="004C3B96">
              <w:t>120</w:t>
            </w:r>
          </w:p>
        </w:tc>
        <w:tc>
          <w:tcPr>
            <w:tcW w:w="1260" w:type="dxa"/>
            <w:vAlign w:val="bottom"/>
          </w:tcPr>
          <w:p w:rsidR="00AA7A06" w:rsidRPr="004C3B96" w:rsidRDefault="00AA7A06" w:rsidP="002F27A9">
            <w:pPr>
              <w:pStyle w:val="Tablerow"/>
            </w:pPr>
            <w:r w:rsidRPr="004C3B96">
              <w:t>5%</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39</w:t>
            </w:r>
          </w:p>
        </w:tc>
        <w:tc>
          <w:tcPr>
            <w:tcW w:w="1260" w:type="dxa"/>
          </w:tcPr>
          <w:p w:rsidR="00AA7A06" w:rsidRPr="004C3B96" w:rsidRDefault="00AA7A06" w:rsidP="002F27A9">
            <w:pPr>
              <w:pStyle w:val="Tablerow"/>
            </w:pPr>
            <w:r w:rsidRPr="004C3B96">
              <w:t>22</w:t>
            </w:r>
          </w:p>
        </w:tc>
        <w:tc>
          <w:tcPr>
            <w:tcW w:w="1260" w:type="dxa"/>
          </w:tcPr>
          <w:p w:rsidR="00AA7A06" w:rsidRPr="004C3B96" w:rsidRDefault="00AA7A06" w:rsidP="002F27A9">
            <w:pPr>
              <w:pStyle w:val="Tablerow"/>
            </w:pPr>
            <w:r w:rsidRPr="004C3B96">
              <w:t>120</w:t>
            </w:r>
          </w:p>
        </w:tc>
      </w:tr>
      <w:tr w:rsidR="00AA7A06" w:rsidRPr="00F90D20" w:rsidTr="00B73093">
        <w:trPr>
          <w:trHeight w:val="89"/>
        </w:trPr>
        <w:tc>
          <w:tcPr>
            <w:tcW w:w="3118" w:type="dxa"/>
            <w:vAlign w:val="bottom"/>
            <w:hideMark/>
          </w:tcPr>
          <w:p w:rsidR="00AA7A06" w:rsidRPr="004C3B96" w:rsidRDefault="00AA7A06" w:rsidP="002F27A9">
            <w:pPr>
              <w:pStyle w:val="Tablerow"/>
            </w:pPr>
            <w:r w:rsidRPr="004C3B96">
              <w:t>Tennis (outdoor)</w:t>
            </w:r>
          </w:p>
        </w:tc>
        <w:tc>
          <w:tcPr>
            <w:tcW w:w="1260" w:type="dxa"/>
            <w:vAlign w:val="bottom"/>
          </w:tcPr>
          <w:p w:rsidR="00AA7A06" w:rsidRPr="004C3B96" w:rsidRDefault="00AA7A06" w:rsidP="002F27A9">
            <w:pPr>
              <w:pStyle w:val="Tablerow"/>
            </w:pPr>
            <w:r w:rsidRPr="004C3B96">
              <w:t>6%</w:t>
            </w:r>
          </w:p>
        </w:tc>
        <w:tc>
          <w:tcPr>
            <w:tcW w:w="1260" w:type="dxa"/>
          </w:tcPr>
          <w:p w:rsidR="00AA7A06" w:rsidRPr="004C3B96" w:rsidRDefault="00AA7A06" w:rsidP="002F27A9">
            <w:pPr>
              <w:pStyle w:val="Tablerow"/>
            </w:pPr>
            <w:r w:rsidRPr="004C3B96">
              <w:t>13</w:t>
            </w:r>
          </w:p>
        </w:tc>
        <w:tc>
          <w:tcPr>
            <w:tcW w:w="1260" w:type="dxa"/>
          </w:tcPr>
          <w:p w:rsidR="00AA7A06" w:rsidRPr="004C3B96" w:rsidRDefault="00AA7A06" w:rsidP="002F27A9">
            <w:pPr>
              <w:pStyle w:val="Tablerow"/>
            </w:pPr>
            <w:r w:rsidRPr="004C3B96">
              <w:t>22</w:t>
            </w:r>
          </w:p>
        </w:tc>
        <w:tc>
          <w:tcPr>
            <w:tcW w:w="1260" w:type="dxa"/>
          </w:tcPr>
          <w:p w:rsidR="00AA7A06" w:rsidRPr="004C3B96" w:rsidRDefault="00AA7A06" w:rsidP="002F27A9">
            <w:pPr>
              <w:pStyle w:val="Tablerow"/>
            </w:pPr>
            <w:r w:rsidRPr="004C3B96">
              <w:t>157</w:t>
            </w:r>
          </w:p>
        </w:tc>
        <w:tc>
          <w:tcPr>
            <w:tcW w:w="1260" w:type="dxa"/>
            <w:vAlign w:val="bottom"/>
          </w:tcPr>
          <w:p w:rsidR="00AA7A06" w:rsidRPr="004C3B96" w:rsidRDefault="00AA7A06" w:rsidP="002F27A9">
            <w:pPr>
              <w:pStyle w:val="Tablerow"/>
            </w:pPr>
            <w:r w:rsidRPr="004C3B96">
              <w:t>2%</w:t>
            </w:r>
          </w:p>
        </w:tc>
        <w:tc>
          <w:tcPr>
            <w:tcW w:w="1260" w:type="dxa"/>
            <w:vAlign w:val="bottom"/>
          </w:tcPr>
          <w:p w:rsidR="00AA7A06" w:rsidRPr="004C3B96" w:rsidRDefault="00AA7A06" w:rsidP="002F27A9">
            <w:pPr>
              <w:pStyle w:val="Tablerow"/>
            </w:pPr>
            <w:r w:rsidRPr="004C3B96">
              <w:t>70%</w:t>
            </w:r>
          </w:p>
        </w:tc>
        <w:tc>
          <w:tcPr>
            <w:tcW w:w="1260" w:type="dxa"/>
          </w:tcPr>
          <w:p w:rsidR="00AA7A06" w:rsidRPr="004C3B96" w:rsidRDefault="00AA7A06" w:rsidP="002F27A9">
            <w:pPr>
              <w:pStyle w:val="Tablerow"/>
            </w:pPr>
            <w:r w:rsidRPr="004C3B96">
              <w:t>9</w:t>
            </w:r>
          </w:p>
        </w:tc>
        <w:tc>
          <w:tcPr>
            <w:tcW w:w="1260" w:type="dxa"/>
          </w:tcPr>
          <w:p w:rsidR="00AA7A06" w:rsidRPr="004C3B96" w:rsidRDefault="00AA7A06" w:rsidP="002F27A9">
            <w:pPr>
              <w:pStyle w:val="Tablerow"/>
            </w:pPr>
            <w:r w:rsidRPr="004C3B96">
              <w:t>15</w:t>
            </w:r>
          </w:p>
        </w:tc>
        <w:tc>
          <w:tcPr>
            <w:tcW w:w="1260" w:type="dxa"/>
          </w:tcPr>
          <w:p w:rsidR="00AA7A06" w:rsidRPr="004C3B96" w:rsidRDefault="00AA7A06" w:rsidP="002F27A9">
            <w:pPr>
              <w:pStyle w:val="Tablerow"/>
            </w:pPr>
            <w:r w:rsidRPr="004C3B96">
              <w:t>110</w:t>
            </w:r>
          </w:p>
        </w:tc>
      </w:tr>
      <w:tr w:rsidR="00AA7A06" w:rsidRPr="00F90D20" w:rsidTr="00B73093">
        <w:trPr>
          <w:trHeight w:val="67"/>
        </w:trPr>
        <w:tc>
          <w:tcPr>
            <w:tcW w:w="3118" w:type="dxa"/>
            <w:vAlign w:val="bottom"/>
            <w:hideMark/>
          </w:tcPr>
          <w:p w:rsidR="00AA7A06" w:rsidRPr="004C3B96" w:rsidRDefault="00AA7A06" w:rsidP="002F27A9">
            <w:pPr>
              <w:pStyle w:val="Tablerow"/>
            </w:pPr>
            <w:r w:rsidRPr="004C3B96">
              <w:t>Walking—bush</w:t>
            </w:r>
          </w:p>
        </w:tc>
        <w:tc>
          <w:tcPr>
            <w:tcW w:w="1260" w:type="dxa"/>
            <w:vAlign w:val="bottom"/>
          </w:tcPr>
          <w:p w:rsidR="00AA7A06" w:rsidRPr="004C3B96" w:rsidRDefault="00AA7A06" w:rsidP="002F27A9">
            <w:pPr>
              <w:pStyle w:val="Tablerow"/>
            </w:pPr>
            <w:r w:rsidRPr="004C3B96">
              <w:t>5%</w:t>
            </w:r>
          </w:p>
        </w:tc>
        <w:tc>
          <w:tcPr>
            <w:tcW w:w="1260" w:type="dxa"/>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15</w:t>
            </w:r>
          </w:p>
        </w:tc>
        <w:tc>
          <w:tcPr>
            <w:tcW w:w="1260" w:type="dxa"/>
          </w:tcPr>
          <w:p w:rsidR="00AA7A06" w:rsidRPr="004C3B96" w:rsidRDefault="00AA7A06" w:rsidP="002F27A9">
            <w:pPr>
              <w:pStyle w:val="Tablerow"/>
            </w:pPr>
            <w:r w:rsidRPr="004C3B96">
              <w:t>78</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15</w:t>
            </w:r>
          </w:p>
        </w:tc>
        <w:tc>
          <w:tcPr>
            <w:tcW w:w="1260" w:type="dxa"/>
          </w:tcPr>
          <w:p w:rsidR="00AA7A06" w:rsidRPr="004C3B96" w:rsidRDefault="00AA7A06" w:rsidP="002F27A9">
            <w:pPr>
              <w:pStyle w:val="Tablerow"/>
            </w:pPr>
            <w:r w:rsidRPr="004C3B96">
              <w:t>78</w:t>
            </w:r>
          </w:p>
        </w:tc>
      </w:tr>
      <w:tr w:rsidR="00AA7A06" w:rsidRPr="00F90D20" w:rsidTr="00B73093">
        <w:trPr>
          <w:trHeight w:val="67"/>
        </w:trPr>
        <w:tc>
          <w:tcPr>
            <w:tcW w:w="3118" w:type="dxa"/>
            <w:vAlign w:val="bottom"/>
          </w:tcPr>
          <w:p w:rsidR="00AA7A06" w:rsidRPr="004C3B96" w:rsidRDefault="00AA7A06" w:rsidP="002F27A9">
            <w:pPr>
              <w:pStyle w:val="Tablerow"/>
            </w:pPr>
            <w:r w:rsidRPr="004C3B96">
              <w:t>Running (for example, marathon)</w:t>
            </w:r>
          </w:p>
        </w:tc>
        <w:tc>
          <w:tcPr>
            <w:tcW w:w="1260" w:type="dxa"/>
            <w:vAlign w:val="bottom"/>
          </w:tcPr>
          <w:p w:rsidR="00AA7A06" w:rsidRPr="004C3B96" w:rsidRDefault="00AA7A06" w:rsidP="002F27A9">
            <w:pPr>
              <w:pStyle w:val="Tablerow"/>
            </w:pPr>
            <w:r w:rsidRPr="004C3B96">
              <w:t>5%</w:t>
            </w:r>
          </w:p>
        </w:tc>
        <w:tc>
          <w:tcPr>
            <w:tcW w:w="1260" w:type="dxa"/>
          </w:tcPr>
          <w:p w:rsidR="00AA7A06" w:rsidRPr="004C3B96" w:rsidRDefault="00AA7A06" w:rsidP="002F27A9">
            <w:pPr>
              <w:pStyle w:val="Tablerow"/>
            </w:pPr>
            <w:r w:rsidRPr="004C3B96">
              <w:t>24</w:t>
            </w:r>
          </w:p>
        </w:tc>
        <w:tc>
          <w:tcPr>
            <w:tcW w:w="1260" w:type="dxa"/>
          </w:tcPr>
          <w:p w:rsidR="00AA7A06" w:rsidRPr="004C3B96" w:rsidRDefault="00AA7A06" w:rsidP="002F27A9">
            <w:pPr>
              <w:pStyle w:val="Tablerow"/>
            </w:pPr>
            <w:r w:rsidRPr="004C3B96">
              <w:t>16</w:t>
            </w:r>
          </w:p>
        </w:tc>
        <w:tc>
          <w:tcPr>
            <w:tcW w:w="1260" w:type="dxa"/>
          </w:tcPr>
          <w:p w:rsidR="00AA7A06" w:rsidRPr="004C3B96" w:rsidRDefault="00AA7A06" w:rsidP="002F27A9">
            <w:pPr>
              <w:pStyle w:val="Tablerow"/>
            </w:pPr>
            <w:r w:rsidRPr="004C3B96">
              <w:t>209</w:t>
            </w:r>
          </w:p>
        </w:tc>
        <w:tc>
          <w:tcPr>
            <w:tcW w:w="1260" w:type="dxa"/>
            <w:vAlign w:val="bottom"/>
          </w:tcPr>
          <w:p w:rsidR="00AA7A06" w:rsidRPr="004C3B96" w:rsidRDefault="00AA7A06" w:rsidP="002F27A9">
            <w:pPr>
              <w:pStyle w:val="Tablerow"/>
            </w:pPr>
            <w:r w:rsidRPr="004C3B96">
              <w:t>3%</w:t>
            </w:r>
          </w:p>
        </w:tc>
        <w:tc>
          <w:tcPr>
            <w:tcW w:w="1260" w:type="dxa"/>
            <w:vAlign w:val="bottom"/>
          </w:tcPr>
          <w:p w:rsidR="00AA7A06" w:rsidRPr="004C3B96" w:rsidRDefault="00AA7A06" w:rsidP="002F27A9">
            <w:pPr>
              <w:pStyle w:val="Tablerow"/>
            </w:pPr>
            <w:r w:rsidRPr="004C3B96">
              <w:t>77%</w:t>
            </w:r>
          </w:p>
        </w:tc>
        <w:tc>
          <w:tcPr>
            <w:tcW w:w="1260" w:type="dxa"/>
          </w:tcPr>
          <w:p w:rsidR="00AA7A06" w:rsidRPr="004C3B96" w:rsidRDefault="00AA7A06" w:rsidP="002F27A9">
            <w:pPr>
              <w:pStyle w:val="Tablerow"/>
            </w:pPr>
            <w:r w:rsidRPr="004C3B96">
              <w:t>19</w:t>
            </w:r>
          </w:p>
        </w:tc>
        <w:tc>
          <w:tcPr>
            <w:tcW w:w="1260" w:type="dxa"/>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156</w:t>
            </w:r>
          </w:p>
        </w:tc>
      </w:tr>
      <w:tr w:rsidR="00AA7A06" w:rsidRPr="00F90D20" w:rsidTr="00B73093">
        <w:trPr>
          <w:trHeight w:val="67"/>
        </w:trPr>
        <w:tc>
          <w:tcPr>
            <w:tcW w:w="3118" w:type="dxa"/>
            <w:vAlign w:val="bottom"/>
          </w:tcPr>
          <w:p w:rsidR="00AA7A06" w:rsidRPr="004C3B96" w:rsidRDefault="00AA7A06" w:rsidP="002F27A9">
            <w:pPr>
              <w:pStyle w:val="Tablerow"/>
            </w:pPr>
            <w:r w:rsidRPr="004C3B96">
              <w:t>Jogging</w:t>
            </w:r>
          </w:p>
        </w:tc>
        <w:tc>
          <w:tcPr>
            <w:tcW w:w="1260" w:type="dxa"/>
            <w:vAlign w:val="bottom"/>
          </w:tcPr>
          <w:p w:rsidR="00AA7A06" w:rsidRPr="004C3B96" w:rsidRDefault="00AA7A06" w:rsidP="002F27A9">
            <w:pPr>
              <w:pStyle w:val="Tablerow"/>
            </w:pPr>
            <w:r w:rsidRPr="004C3B96">
              <w:t>4%</w:t>
            </w:r>
          </w:p>
        </w:tc>
        <w:tc>
          <w:tcPr>
            <w:tcW w:w="1260" w:type="dxa"/>
          </w:tcPr>
          <w:p w:rsidR="00AA7A06" w:rsidRPr="004C3B96" w:rsidRDefault="00AA7A06" w:rsidP="002F27A9">
            <w:pPr>
              <w:pStyle w:val="Tablerow"/>
            </w:pPr>
            <w:r w:rsidRPr="004C3B96">
              <w:t>20</w:t>
            </w:r>
          </w:p>
        </w:tc>
        <w:tc>
          <w:tcPr>
            <w:tcW w:w="1260" w:type="dxa"/>
          </w:tcPr>
          <w:p w:rsidR="00AA7A06" w:rsidRPr="004C3B96" w:rsidRDefault="00AA7A06" w:rsidP="002F27A9">
            <w:pPr>
              <w:pStyle w:val="Tablerow"/>
            </w:pPr>
            <w:r w:rsidRPr="004C3B96">
              <w:t>11</w:t>
            </w:r>
          </w:p>
        </w:tc>
        <w:tc>
          <w:tcPr>
            <w:tcW w:w="1260" w:type="dxa"/>
          </w:tcPr>
          <w:p w:rsidR="00AA7A06" w:rsidRPr="004C3B96" w:rsidRDefault="00AA7A06" w:rsidP="002F27A9">
            <w:pPr>
              <w:pStyle w:val="Tablerow"/>
            </w:pPr>
            <w:r w:rsidRPr="004C3B96">
              <w:t>74</w:t>
            </w:r>
          </w:p>
        </w:tc>
        <w:tc>
          <w:tcPr>
            <w:tcW w:w="1260" w:type="dxa"/>
            <w:vAlign w:val="bottom"/>
          </w:tcPr>
          <w:p w:rsidR="00AA7A06" w:rsidRPr="004C3B96" w:rsidRDefault="00AA7A06" w:rsidP="002F27A9">
            <w:pPr>
              <w:pStyle w:val="Tablerow"/>
            </w:pPr>
            <w:r w:rsidRPr="004C3B96">
              <w:t>2%</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20</w:t>
            </w:r>
          </w:p>
        </w:tc>
        <w:tc>
          <w:tcPr>
            <w:tcW w:w="1260" w:type="dxa"/>
          </w:tcPr>
          <w:p w:rsidR="00AA7A06" w:rsidRPr="004C3B96" w:rsidRDefault="00AA7A06" w:rsidP="002F27A9">
            <w:pPr>
              <w:pStyle w:val="Tablerow"/>
            </w:pPr>
            <w:r w:rsidRPr="004C3B96">
              <w:t>11</w:t>
            </w:r>
          </w:p>
        </w:tc>
        <w:tc>
          <w:tcPr>
            <w:tcW w:w="1260" w:type="dxa"/>
          </w:tcPr>
          <w:p w:rsidR="00AA7A06" w:rsidRPr="004C3B96" w:rsidRDefault="00AA7A06" w:rsidP="002F27A9">
            <w:pPr>
              <w:pStyle w:val="Tablerow"/>
            </w:pPr>
            <w:r w:rsidRPr="004C3B96">
              <w:t>74</w:t>
            </w:r>
          </w:p>
        </w:tc>
      </w:tr>
      <w:tr w:rsidR="00AA7A06" w:rsidRPr="00F90D20" w:rsidTr="00B73093">
        <w:trPr>
          <w:trHeight w:val="67"/>
        </w:trPr>
        <w:tc>
          <w:tcPr>
            <w:tcW w:w="3118" w:type="dxa"/>
            <w:vAlign w:val="bottom"/>
          </w:tcPr>
          <w:p w:rsidR="00AA7A06" w:rsidRPr="004C3B96" w:rsidRDefault="00AA7A06" w:rsidP="002F27A9">
            <w:pPr>
              <w:pStyle w:val="Tablerow"/>
            </w:pPr>
            <w:r w:rsidRPr="004C3B96">
              <w:t>Yoga</w:t>
            </w:r>
          </w:p>
        </w:tc>
        <w:tc>
          <w:tcPr>
            <w:tcW w:w="1260" w:type="dxa"/>
            <w:vAlign w:val="bottom"/>
          </w:tcPr>
          <w:p w:rsidR="00AA7A06" w:rsidRPr="004C3B96" w:rsidRDefault="00AA7A06" w:rsidP="002F27A9">
            <w:pPr>
              <w:pStyle w:val="Tablerow"/>
            </w:pPr>
            <w:r w:rsidRPr="004C3B96">
              <w:t>4%</w:t>
            </w:r>
          </w:p>
        </w:tc>
        <w:tc>
          <w:tcPr>
            <w:tcW w:w="1260" w:type="dxa"/>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10</w:t>
            </w:r>
          </w:p>
        </w:tc>
        <w:tc>
          <w:tcPr>
            <w:tcW w:w="1260" w:type="dxa"/>
          </w:tcPr>
          <w:p w:rsidR="00AA7A06" w:rsidRPr="004C3B96" w:rsidRDefault="00AA7A06" w:rsidP="002F27A9">
            <w:pPr>
              <w:pStyle w:val="Tablerow"/>
            </w:pPr>
            <w:r w:rsidRPr="004C3B96">
              <w:t>51</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10</w:t>
            </w:r>
          </w:p>
        </w:tc>
        <w:tc>
          <w:tcPr>
            <w:tcW w:w="1260" w:type="dxa"/>
          </w:tcPr>
          <w:p w:rsidR="00AA7A06" w:rsidRPr="004C3B96" w:rsidRDefault="00AA7A06" w:rsidP="002F27A9">
            <w:pPr>
              <w:pStyle w:val="Tablerow"/>
            </w:pPr>
            <w:r w:rsidRPr="004C3B96">
              <w:t>51</w:t>
            </w:r>
          </w:p>
        </w:tc>
      </w:tr>
      <w:tr w:rsidR="00AA7A06" w:rsidRPr="00F90D20" w:rsidTr="00B73093">
        <w:trPr>
          <w:trHeight w:val="67"/>
        </w:trPr>
        <w:tc>
          <w:tcPr>
            <w:tcW w:w="3118" w:type="dxa"/>
            <w:vAlign w:val="bottom"/>
          </w:tcPr>
          <w:p w:rsidR="00AA7A06" w:rsidRPr="004C3B96" w:rsidRDefault="00AA7A06" w:rsidP="002F27A9">
            <w:pPr>
              <w:pStyle w:val="Tablerow"/>
            </w:pPr>
            <w:r w:rsidRPr="004C3B96">
              <w:t>Basketball (indoor and outdoor)</w:t>
            </w:r>
          </w:p>
        </w:tc>
        <w:tc>
          <w:tcPr>
            <w:tcW w:w="1260" w:type="dxa"/>
            <w:vAlign w:val="bottom"/>
          </w:tcPr>
          <w:p w:rsidR="00AA7A06" w:rsidRPr="004C3B96" w:rsidRDefault="00AA7A06" w:rsidP="002F27A9">
            <w:pPr>
              <w:pStyle w:val="Tablerow"/>
            </w:pPr>
            <w:r w:rsidRPr="004C3B96">
              <w:t>3%</w:t>
            </w:r>
          </w:p>
        </w:tc>
        <w:tc>
          <w:tcPr>
            <w:tcW w:w="1260" w:type="dxa"/>
          </w:tcPr>
          <w:p w:rsidR="00AA7A06" w:rsidRPr="004C3B96" w:rsidRDefault="00AA7A06" w:rsidP="002F27A9">
            <w:pPr>
              <w:pStyle w:val="Tablerow"/>
            </w:pPr>
            <w:r w:rsidRPr="004C3B96">
              <w:t>11</w:t>
            </w:r>
          </w:p>
        </w:tc>
        <w:tc>
          <w:tcPr>
            <w:tcW w:w="1260" w:type="dxa"/>
          </w:tcPr>
          <w:p w:rsidR="00AA7A06" w:rsidRPr="004C3B96" w:rsidRDefault="00AA7A06" w:rsidP="002F27A9">
            <w:pPr>
              <w:pStyle w:val="Tablerow"/>
            </w:pPr>
            <w:r w:rsidRPr="004C3B96">
              <w:t>9</w:t>
            </w:r>
          </w:p>
        </w:tc>
        <w:tc>
          <w:tcPr>
            <w:tcW w:w="1260" w:type="dxa"/>
          </w:tcPr>
          <w:p w:rsidR="00AA7A06" w:rsidRPr="004C3B96" w:rsidRDefault="00AA7A06" w:rsidP="002F27A9">
            <w:pPr>
              <w:pStyle w:val="Tablerow"/>
            </w:pPr>
            <w:r w:rsidRPr="004C3B96">
              <w:t>69</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19%</w:t>
            </w:r>
          </w:p>
        </w:tc>
        <w:tc>
          <w:tcPr>
            <w:tcW w:w="1260" w:type="dxa"/>
          </w:tcPr>
          <w:p w:rsidR="00AA7A06" w:rsidRPr="004C3B96" w:rsidRDefault="00AA7A06" w:rsidP="002F27A9">
            <w:pPr>
              <w:pStyle w:val="Tablerow"/>
            </w:pPr>
            <w:r w:rsidRPr="004C3B96">
              <w:t>2</w:t>
            </w:r>
          </w:p>
        </w:tc>
        <w:tc>
          <w:tcPr>
            <w:tcW w:w="1260" w:type="dxa"/>
          </w:tcPr>
          <w:p w:rsidR="00AA7A06" w:rsidRPr="004C3B96" w:rsidRDefault="00AA7A06" w:rsidP="002F27A9">
            <w:pPr>
              <w:pStyle w:val="Tablerow"/>
            </w:pPr>
            <w:r w:rsidRPr="004C3B96">
              <w:t>2</w:t>
            </w:r>
          </w:p>
        </w:tc>
        <w:tc>
          <w:tcPr>
            <w:tcW w:w="1260" w:type="dxa"/>
          </w:tcPr>
          <w:p w:rsidR="00AA7A06" w:rsidRPr="004C3B96" w:rsidRDefault="00AA7A06" w:rsidP="002F27A9">
            <w:pPr>
              <w:pStyle w:val="Tablerow"/>
            </w:pPr>
            <w:r w:rsidRPr="004C3B96">
              <w:t>11</w:t>
            </w:r>
          </w:p>
        </w:tc>
      </w:tr>
      <w:tr w:rsidR="00AA7A06" w:rsidRPr="00F90D20" w:rsidTr="00B73093">
        <w:trPr>
          <w:trHeight w:val="67"/>
        </w:trPr>
        <w:tc>
          <w:tcPr>
            <w:tcW w:w="3118" w:type="dxa"/>
            <w:vAlign w:val="bottom"/>
          </w:tcPr>
          <w:p w:rsidR="00AA7A06" w:rsidRPr="004C3B96" w:rsidRDefault="00AA7A06" w:rsidP="002F27A9">
            <w:pPr>
              <w:pStyle w:val="Tablerow"/>
            </w:pPr>
            <w:r w:rsidRPr="004C3B96">
              <w:t>Football—Australian rules</w:t>
            </w:r>
          </w:p>
        </w:tc>
        <w:tc>
          <w:tcPr>
            <w:tcW w:w="1260" w:type="dxa"/>
            <w:vAlign w:val="bottom"/>
          </w:tcPr>
          <w:p w:rsidR="00AA7A06" w:rsidRPr="004C3B96" w:rsidRDefault="00AA7A06" w:rsidP="002F27A9">
            <w:pPr>
              <w:pStyle w:val="Tablerow"/>
            </w:pPr>
            <w:r w:rsidRPr="004C3B96">
              <w:t>3%</w:t>
            </w:r>
          </w:p>
        </w:tc>
        <w:tc>
          <w:tcPr>
            <w:tcW w:w="1260" w:type="dxa"/>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99</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1</w:t>
            </w:r>
          </w:p>
        </w:tc>
        <w:tc>
          <w:tcPr>
            <w:tcW w:w="1260" w:type="dxa"/>
          </w:tcPr>
          <w:p w:rsidR="00AA7A06" w:rsidRPr="004C3B96" w:rsidRDefault="00AA7A06" w:rsidP="002F27A9">
            <w:pPr>
              <w:pStyle w:val="Tablerow"/>
            </w:pPr>
            <w:r w:rsidRPr="004C3B96">
              <w:t>1</w:t>
            </w:r>
          </w:p>
        </w:tc>
        <w:tc>
          <w:tcPr>
            <w:tcW w:w="1260" w:type="dxa"/>
          </w:tcPr>
          <w:p w:rsidR="00AA7A06" w:rsidRPr="004C3B96" w:rsidRDefault="00AA7A06" w:rsidP="002F27A9">
            <w:pPr>
              <w:pStyle w:val="Tablerow"/>
            </w:pPr>
            <w:r w:rsidRPr="004C3B96">
              <w:t>7</w:t>
            </w:r>
          </w:p>
        </w:tc>
      </w:tr>
      <w:tr w:rsidR="00AA7A06" w:rsidRPr="00F90D20" w:rsidTr="00B73093">
        <w:trPr>
          <w:trHeight w:val="67"/>
        </w:trPr>
        <w:tc>
          <w:tcPr>
            <w:tcW w:w="3118" w:type="dxa"/>
            <w:vAlign w:val="bottom"/>
          </w:tcPr>
          <w:p w:rsidR="00AA7A06" w:rsidRPr="004C3B96" w:rsidRDefault="00AA7A06" w:rsidP="002F27A9">
            <w:pPr>
              <w:pStyle w:val="Tablerow"/>
            </w:pPr>
            <w:r w:rsidRPr="004C3B96">
              <w:t>Cricket (outdoor), vigoro</w:t>
            </w:r>
          </w:p>
        </w:tc>
        <w:tc>
          <w:tcPr>
            <w:tcW w:w="1260" w:type="dxa"/>
            <w:vAlign w:val="bottom"/>
          </w:tcPr>
          <w:p w:rsidR="00AA7A06" w:rsidRPr="004C3B96" w:rsidRDefault="00AA7A06" w:rsidP="002F27A9">
            <w:pPr>
              <w:pStyle w:val="Tablerow"/>
            </w:pPr>
            <w:r w:rsidRPr="004C3B96">
              <w:t>3%</w:t>
            </w:r>
          </w:p>
        </w:tc>
        <w:tc>
          <w:tcPr>
            <w:tcW w:w="1260" w:type="dxa"/>
          </w:tcPr>
          <w:p w:rsidR="00AA7A06" w:rsidRPr="004C3B96" w:rsidRDefault="00AA7A06" w:rsidP="002F27A9">
            <w:pPr>
              <w:pStyle w:val="Tablerow"/>
            </w:pPr>
            <w:r w:rsidRPr="004C3B96">
              <w:t>7</w:t>
            </w:r>
          </w:p>
        </w:tc>
        <w:tc>
          <w:tcPr>
            <w:tcW w:w="1260" w:type="dxa"/>
          </w:tcPr>
          <w:p w:rsidR="00AA7A06" w:rsidRPr="004C3B96" w:rsidRDefault="00AA7A06" w:rsidP="002F27A9">
            <w:pPr>
              <w:pStyle w:val="Tablerow"/>
            </w:pPr>
            <w:r w:rsidRPr="004C3B96">
              <w:t>12</w:t>
            </w:r>
          </w:p>
        </w:tc>
        <w:tc>
          <w:tcPr>
            <w:tcW w:w="1260" w:type="dxa"/>
          </w:tcPr>
          <w:p w:rsidR="00AA7A06" w:rsidRPr="004C3B96" w:rsidRDefault="00AA7A06" w:rsidP="002F27A9">
            <w:pPr>
              <w:pStyle w:val="Tablerow"/>
            </w:pPr>
            <w:r w:rsidRPr="004C3B96">
              <w:t>60</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14%</w:t>
            </w:r>
          </w:p>
        </w:tc>
        <w:tc>
          <w:tcPr>
            <w:tcW w:w="1260" w:type="dxa"/>
          </w:tcPr>
          <w:p w:rsidR="00AA7A06" w:rsidRPr="004C3B96" w:rsidRDefault="00AA7A06" w:rsidP="002F27A9">
            <w:pPr>
              <w:pStyle w:val="Tablerow"/>
            </w:pPr>
            <w:r w:rsidRPr="004C3B96">
              <w:t>1</w:t>
            </w:r>
          </w:p>
        </w:tc>
        <w:tc>
          <w:tcPr>
            <w:tcW w:w="1260" w:type="dxa"/>
          </w:tcPr>
          <w:p w:rsidR="00AA7A06" w:rsidRPr="004C3B96" w:rsidRDefault="00AA7A06" w:rsidP="002F27A9">
            <w:pPr>
              <w:pStyle w:val="Tablerow"/>
            </w:pPr>
            <w:r w:rsidRPr="004C3B96">
              <w:t>1</w:t>
            </w:r>
          </w:p>
        </w:tc>
        <w:tc>
          <w:tcPr>
            <w:tcW w:w="1260" w:type="dxa"/>
          </w:tcPr>
          <w:p w:rsidR="00AA7A06" w:rsidRPr="004C3B96" w:rsidRDefault="00AA7A06" w:rsidP="002F27A9">
            <w:pPr>
              <w:pStyle w:val="Tablerow"/>
            </w:pPr>
            <w:r w:rsidRPr="004C3B96">
              <w:t>6</w:t>
            </w:r>
          </w:p>
        </w:tc>
      </w:tr>
      <w:tr w:rsidR="00AA7A06" w:rsidRPr="00F90D20" w:rsidTr="00B73093">
        <w:trPr>
          <w:trHeight w:val="67"/>
        </w:trPr>
        <w:tc>
          <w:tcPr>
            <w:tcW w:w="3118" w:type="dxa"/>
            <w:vAlign w:val="bottom"/>
          </w:tcPr>
          <w:p w:rsidR="00AA7A06" w:rsidRPr="004C3B96" w:rsidRDefault="00AA7A06" w:rsidP="002F27A9">
            <w:pPr>
              <w:pStyle w:val="Tablerow"/>
            </w:pPr>
            <w:r w:rsidRPr="004C3B96">
              <w:t>Weight training for fitness—other</w:t>
            </w:r>
          </w:p>
        </w:tc>
        <w:tc>
          <w:tcPr>
            <w:tcW w:w="1260" w:type="dxa"/>
            <w:vAlign w:val="bottom"/>
          </w:tcPr>
          <w:p w:rsidR="00AA7A06" w:rsidRPr="004C3B96" w:rsidRDefault="00AA7A06" w:rsidP="002F27A9">
            <w:pPr>
              <w:pStyle w:val="Tablerow"/>
            </w:pPr>
            <w:r w:rsidRPr="004C3B96">
              <w:t>2%</w:t>
            </w:r>
          </w:p>
        </w:tc>
        <w:tc>
          <w:tcPr>
            <w:tcW w:w="1260" w:type="dxa"/>
          </w:tcPr>
          <w:p w:rsidR="00AA7A06" w:rsidRPr="004C3B96" w:rsidRDefault="00AA7A06" w:rsidP="002F27A9">
            <w:pPr>
              <w:pStyle w:val="Tablerow"/>
            </w:pPr>
            <w:r w:rsidRPr="004C3B96">
              <w:t>14</w:t>
            </w:r>
          </w:p>
        </w:tc>
        <w:tc>
          <w:tcPr>
            <w:tcW w:w="1260" w:type="dxa"/>
          </w:tcPr>
          <w:p w:rsidR="00AA7A06" w:rsidRPr="004C3B96" w:rsidRDefault="00AA7A06" w:rsidP="002F27A9">
            <w:pPr>
              <w:pStyle w:val="Tablerow"/>
            </w:pPr>
            <w:r w:rsidRPr="004C3B96">
              <w:t>10</w:t>
            </w:r>
          </w:p>
        </w:tc>
        <w:tc>
          <w:tcPr>
            <w:tcW w:w="1260" w:type="dxa"/>
          </w:tcPr>
          <w:p w:rsidR="00AA7A06" w:rsidRPr="004C3B96" w:rsidRDefault="00AA7A06" w:rsidP="002F27A9">
            <w:pPr>
              <w:pStyle w:val="Tablerow"/>
            </w:pPr>
            <w:r w:rsidRPr="004C3B96">
              <w:t>48</w:t>
            </w:r>
          </w:p>
        </w:tc>
        <w:tc>
          <w:tcPr>
            <w:tcW w:w="1260" w:type="dxa"/>
            <w:vAlign w:val="bottom"/>
          </w:tcPr>
          <w:p w:rsidR="00AA7A06" w:rsidRPr="004C3B96" w:rsidRDefault="00AA7A06" w:rsidP="002F27A9">
            <w:pPr>
              <w:pStyle w:val="Tablerow"/>
            </w:pPr>
            <w:r w:rsidRPr="004C3B96">
              <w:t>2%</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14</w:t>
            </w:r>
          </w:p>
        </w:tc>
        <w:tc>
          <w:tcPr>
            <w:tcW w:w="1260" w:type="dxa"/>
          </w:tcPr>
          <w:p w:rsidR="00AA7A06" w:rsidRPr="004C3B96" w:rsidRDefault="00AA7A06" w:rsidP="002F27A9">
            <w:pPr>
              <w:pStyle w:val="Tablerow"/>
            </w:pPr>
            <w:r w:rsidRPr="004C3B96">
              <w:t>10</w:t>
            </w:r>
          </w:p>
        </w:tc>
        <w:tc>
          <w:tcPr>
            <w:tcW w:w="1260" w:type="dxa"/>
          </w:tcPr>
          <w:p w:rsidR="00AA7A06" w:rsidRPr="004C3B96" w:rsidRDefault="00AA7A06" w:rsidP="002F27A9">
            <w:pPr>
              <w:pStyle w:val="Tablerow"/>
            </w:pPr>
            <w:r w:rsidRPr="004C3B96">
              <w:t>48</w:t>
            </w:r>
          </w:p>
        </w:tc>
      </w:tr>
      <w:tr w:rsidR="00AA7A06" w:rsidRPr="00F90D20" w:rsidTr="00B73093">
        <w:trPr>
          <w:trHeight w:val="74"/>
        </w:trPr>
        <w:tc>
          <w:tcPr>
            <w:tcW w:w="3118" w:type="dxa"/>
            <w:vAlign w:val="bottom"/>
          </w:tcPr>
          <w:p w:rsidR="00AA7A06" w:rsidRPr="004C3B96" w:rsidRDefault="00AA7A06" w:rsidP="002F27A9">
            <w:pPr>
              <w:pStyle w:val="Tablerow"/>
            </w:pPr>
            <w:r w:rsidRPr="004C3B96">
              <w:t>Lawn bowls</w:t>
            </w:r>
          </w:p>
        </w:tc>
        <w:tc>
          <w:tcPr>
            <w:tcW w:w="1260" w:type="dxa"/>
            <w:vAlign w:val="bottom"/>
          </w:tcPr>
          <w:p w:rsidR="00AA7A06" w:rsidRPr="004C3B96" w:rsidRDefault="00AA7A06" w:rsidP="002F27A9">
            <w:pPr>
              <w:pStyle w:val="Tablerow"/>
            </w:pPr>
            <w:r w:rsidRPr="004C3B96">
              <w:t>2%</w:t>
            </w:r>
          </w:p>
        </w:tc>
        <w:tc>
          <w:tcPr>
            <w:tcW w:w="1260" w:type="dxa"/>
          </w:tcPr>
          <w:p w:rsidR="00AA7A06" w:rsidRPr="004C3B96" w:rsidRDefault="00AA7A06" w:rsidP="002F27A9">
            <w:pPr>
              <w:pStyle w:val="Tablerow"/>
            </w:pPr>
            <w:r w:rsidRPr="004C3B96">
              <w:t>10</w:t>
            </w:r>
          </w:p>
        </w:tc>
        <w:tc>
          <w:tcPr>
            <w:tcW w:w="1260" w:type="dxa"/>
          </w:tcPr>
          <w:p w:rsidR="00AA7A06" w:rsidRPr="004C3B96" w:rsidRDefault="00AA7A06" w:rsidP="002F27A9">
            <w:pPr>
              <w:pStyle w:val="Tablerow"/>
            </w:pPr>
            <w:r w:rsidRPr="004C3B96">
              <w:t>29</w:t>
            </w:r>
          </w:p>
        </w:tc>
        <w:tc>
          <w:tcPr>
            <w:tcW w:w="1260" w:type="dxa"/>
          </w:tcPr>
          <w:p w:rsidR="00AA7A06" w:rsidRPr="004C3B96" w:rsidRDefault="00AA7A06" w:rsidP="002F27A9">
            <w:pPr>
              <w:pStyle w:val="Tablerow"/>
            </w:pPr>
            <w:r w:rsidRPr="004C3B96">
              <w:t>95</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2%</w:t>
            </w:r>
          </w:p>
        </w:tc>
        <w:tc>
          <w:tcPr>
            <w:tcW w:w="1260" w:type="dxa"/>
          </w:tcPr>
          <w:p w:rsidR="00AA7A06" w:rsidRPr="004C3B96" w:rsidRDefault="00AA7A06" w:rsidP="002F27A9">
            <w:pPr>
              <w:pStyle w:val="Tablerow"/>
            </w:pPr>
            <w:r w:rsidRPr="004C3B96">
              <w:t>0</w:t>
            </w:r>
          </w:p>
        </w:tc>
        <w:tc>
          <w:tcPr>
            <w:tcW w:w="1260" w:type="dxa"/>
          </w:tcPr>
          <w:p w:rsidR="00AA7A06" w:rsidRPr="004C3B96" w:rsidRDefault="00AA7A06" w:rsidP="002F27A9">
            <w:pPr>
              <w:pStyle w:val="Tablerow"/>
            </w:pPr>
            <w:r w:rsidRPr="004C3B96">
              <w:t>0</w:t>
            </w:r>
          </w:p>
        </w:tc>
        <w:tc>
          <w:tcPr>
            <w:tcW w:w="1260" w:type="dxa"/>
          </w:tcPr>
          <w:p w:rsidR="00AA7A06" w:rsidRPr="004C3B96" w:rsidRDefault="00AA7A06" w:rsidP="002F27A9">
            <w:pPr>
              <w:pStyle w:val="Tablerow"/>
            </w:pPr>
            <w:r w:rsidRPr="004C3B96">
              <w:t>2</w:t>
            </w:r>
          </w:p>
        </w:tc>
      </w:tr>
      <w:tr w:rsidR="00AA7A06" w:rsidRPr="00F90D20" w:rsidTr="00B73093">
        <w:trPr>
          <w:trHeight w:val="67"/>
        </w:trPr>
        <w:tc>
          <w:tcPr>
            <w:tcW w:w="3118" w:type="dxa"/>
            <w:vAlign w:val="bottom"/>
          </w:tcPr>
          <w:p w:rsidR="00AA7A06" w:rsidRPr="004C3B96" w:rsidRDefault="00AA7A06" w:rsidP="002F27A9">
            <w:pPr>
              <w:pStyle w:val="Tablerow"/>
            </w:pPr>
            <w:r w:rsidRPr="004C3B96">
              <w:t>Football—soccer (outdoor)</w:t>
            </w:r>
          </w:p>
        </w:tc>
        <w:tc>
          <w:tcPr>
            <w:tcW w:w="1260" w:type="dxa"/>
            <w:vAlign w:val="bottom"/>
          </w:tcPr>
          <w:p w:rsidR="00AA7A06" w:rsidRPr="004C3B96" w:rsidRDefault="00AA7A06" w:rsidP="002F27A9">
            <w:pPr>
              <w:pStyle w:val="Tablerow"/>
            </w:pPr>
            <w:r w:rsidRPr="004C3B96">
              <w:t>2%</w:t>
            </w:r>
          </w:p>
        </w:tc>
        <w:tc>
          <w:tcPr>
            <w:tcW w:w="1260" w:type="dxa"/>
          </w:tcPr>
          <w:p w:rsidR="00AA7A06" w:rsidRPr="004C3B96" w:rsidRDefault="00AA7A06" w:rsidP="002F27A9">
            <w:pPr>
              <w:pStyle w:val="Tablerow"/>
            </w:pPr>
            <w:r w:rsidRPr="004C3B96">
              <w:t>7</w:t>
            </w:r>
          </w:p>
        </w:tc>
        <w:tc>
          <w:tcPr>
            <w:tcW w:w="1260" w:type="dxa"/>
          </w:tcPr>
          <w:p w:rsidR="00AA7A06" w:rsidRPr="004C3B96" w:rsidRDefault="00AA7A06" w:rsidP="002F27A9">
            <w:pPr>
              <w:pStyle w:val="Tablerow"/>
            </w:pPr>
            <w:r w:rsidRPr="004C3B96">
              <w:t>9</w:t>
            </w:r>
          </w:p>
        </w:tc>
        <w:tc>
          <w:tcPr>
            <w:tcW w:w="1260" w:type="dxa"/>
          </w:tcPr>
          <w:p w:rsidR="00AA7A06" w:rsidRPr="004C3B96" w:rsidRDefault="00AA7A06" w:rsidP="002F27A9">
            <w:pPr>
              <w:pStyle w:val="Tablerow"/>
            </w:pPr>
            <w:r w:rsidRPr="004C3B96">
              <w:t>81</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27%</w:t>
            </w:r>
          </w:p>
        </w:tc>
        <w:tc>
          <w:tcPr>
            <w:tcW w:w="1260" w:type="dxa"/>
          </w:tcPr>
          <w:p w:rsidR="00AA7A06" w:rsidRPr="004C3B96" w:rsidRDefault="00AA7A06" w:rsidP="002F27A9">
            <w:pPr>
              <w:pStyle w:val="Tablerow"/>
            </w:pPr>
            <w:r w:rsidRPr="004C3B96">
              <w:t>2</w:t>
            </w:r>
          </w:p>
        </w:tc>
        <w:tc>
          <w:tcPr>
            <w:tcW w:w="1260" w:type="dxa"/>
          </w:tcPr>
          <w:p w:rsidR="00AA7A06" w:rsidRPr="004C3B96" w:rsidRDefault="00AA7A06" w:rsidP="002F27A9">
            <w:pPr>
              <w:pStyle w:val="Tablerow"/>
            </w:pPr>
            <w:r w:rsidRPr="004C3B96">
              <w:t>3</w:t>
            </w:r>
          </w:p>
        </w:tc>
        <w:tc>
          <w:tcPr>
            <w:tcW w:w="1260" w:type="dxa"/>
          </w:tcPr>
          <w:p w:rsidR="00AA7A06" w:rsidRPr="004C3B96" w:rsidRDefault="00AA7A06" w:rsidP="002F27A9">
            <w:pPr>
              <w:pStyle w:val="Tablerow"/>
            </w:pPr>
            <w:r w:rsidRPr="004C3B96">
              <w:t>19</w:t>
            </w:r>
          </w:p>
        </w:tc>
      </w:tr>
      <w:tr w:rsidR="00AA7A06" w:rsidRPr="00F90D20" w:rsidTr="00B73093">
        <w:trPr>
          <w:trHeight w:val="110"/>
        </w:trPr>
        <w:tc>
          <w:tcPr>
            <w:tcW w:w="3118" w:type="dxa"/>
            <w:vAlign w:val="bottom"/>
          </w:tcPr>
          <w:p w:rsidR="00AA7A06" w:rsidRPr="004C3B96" w:rsidRDefault="00AA7A06" w:rsidP="002F27A9">
            <w:pPr>
              <w:pStyle w:val="Tablerow"/>
            </w:pPr>
            <w:r w:rsidRPr="004C3B96">
              <w:t>Dancing—other</w:t>
            </w:r>
          </w:p>
        </w:tc>
        <w:tc>
          <w:tcPr>
            <w:tcW w:w="1260" w:type="dxa"/>
            <w:vAlign w:val="bottom"/>
          </w:tcPr>
          <w:p w:rsidR="00AA7A06" w:rsidRPr="004C3B96" w:rsidRDefault="00AA7A06" w:rsidP="002F27A9">
            <w:pPr>
              <w:pStyle w:val="Tablerow"/>
            </w:pPr>
            <w:r w:rsidRPr="004C3B96">
              <w:t>2%</w:t>
            </w:r>
          </w:p>
        </w:tc>
        <w:tc>
          <w:tcPr>
            <w:tcW w:w="1260" w:type="dxa"/>
          </w:tcPr>
          <w:p w:rsidR="00AA7A06" w:rsidRPr="004C3B96" w:rsidRDefault="00AA7A06" w:rsidP="002F27A9">
            <w:pPr>
              <w:pStyle w:val="Tablerow"/>
            </w:pPr>
            <w:r w:rsidRPr="004C3B96">
              <w:t>7</w:t>
            </w:r>
          </w:p>
        </w:tc>
        <w:tc>
          <w:tcPr>
            <w:tcW w:w="1260" w:type="dxa"/>
          </w:tcPr>
          <w:p w:rsidR="00AA7A06" w:rsidRPr="004C3B96" w:rsidRDefault="00AA7A06" w:rsidP="002F27A9">
            <w:pPr>
              <w:pStyle w:val="Tablerow"/>
            </w:pPr>
            <w:r w:rsidRPr="004C3B96">
              <w:t>14</w:t>
            </w:r>
          </w:p>
        </w:tc>
        <w:tc>
          <w:tcPr>
            <w:tcW w:w="1260" w:type="dxa"/>
          </w:tcPr>
          <w:p w:rsidR="00AA7A06" w:rsidRPr="004C3B96" w:rsidRDefault="00AA7A06" w:rsidP="002F27A9">
            <w:pPr>
              <w:pStyle w:val="Tablerow"/>
            </w:pPr>
            <w:r w:rsidRPr="004C3B96">
              <w:t>107</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7</w:t>
            </w:r>
          </w:p>
        </w:tc>
        <w:tc>
          <w:tcPr>
            <w:tcW w:w="1260" w:type="dxa"/>
          </w:tcPr>
          <w:p w:rsidR="00AA7A06" w:rsidRPr="004C3B96" w:rsidRDefault="00AA7A06" w:rsidP="002F27A9">
            <w:pPr>
              <w:pStyle w:val="Tablerow"/>
            </w:pPr>
            <w:r w:rsidRPr="004C3B96">
              <w:t>14</w:t>
            </w:r>
          </w:p>
        </w:tc>
        <w:tc>
          <w:tcPr>
            <w:tcW w:w="1260" w:type="dxa"/>
          </w:tcPr>
          <w:p w:rsidR="00AA7A06" w:rsidRPr="004C3B96" w:rsidRDefault="00AA7A06" w:rsidP="002F27A9">
            <w:pPr>
              <w:pStyle w:val="Tablerow"/>
            </w:pPr>
            <w:r w:rsidRPr="004C3B96">
              <w:t>107</w:t>
            </w:r>
          </w:p>
        </w:tc>
      </w:tr>
      <w:tr w:rsidR="00AA7A06" w:rsidRPr="00F90D20" w:rsidTr="00B73093">
        <w:trPr>
          <w:trHeight w:val="67"/>
        </w:trPr>
        <w:tc>
          <w:tcPr>
            <w:tcW w:w="3118" w:type="dxa"/>
            <w:vAlign w:val="bottom"/>
          </w:tcPr>
          <w:p w:rsidR="00AA7A06" w:rsidRPr="004C3B96" w:rsidRDefault="00AA7A06" w:rsidP="002F27A9">
            <w:pPr>
              <w:pStyle w:val="Tablerow"/>
            </w:pPr>
            <w:r w:rsidRPr="004C3B96">
              <w:t>Exercise bike</w:t>
            </w:r>
          </w:p>
        </w:tc>
        <w:tc>
          <w:tcPr>
            <w:tcW w:w="1260" w:type="dxa"/>
            <w:vAlign w:val="bottom"/>
          </w:tcPr>
          <w:p w:rsidR="00AA7A06" w:rsidRPr="004C3B96" w:rsidRDefault="00AA7A06" w:rsidP="002F27A9">
            <w:pPr>
              <w:pStyle w:val="Tablerow"/>
            </w:pPr>
            <w:r w:rsidRPr="004C3B96">
              <w:t>1%</w:t>
            </w:r>
          </w:p>
        </w:tc>
        <w:tc>
          <w:tcPr>
            <w:tcW w:w="1260" w:type="dxa"/>
          </w:tcPr>
          <w:p w:rsidR="00AA7A06" w:rsidRPr="004C3B96" w:rsidRDefault="00AA7A06" w:rsidP="002F27A9">
            <w:pPr>
              <w:pStyle w:val="Tablerow"/>
            </w:pPr>
            <w:r w:rsidRPr="004C3B96">
              <w:t>10</w:t>
            </w:r>
          </w:p>
        </w:tc>
        <w:tc>
          <w:tcPr>
            <w:tcW w:w="1260" w:type="dxa"/>
          </w:tcPr>
          <w:p w:rsidR="00AA7A06" w:rsidRPr="004C3B96" w:rsidRDefault="00AA7A06" w:rsidP="002F27A9">
            <w:pPr>
              <w:pStyle w:val="Tablerow"/>
            </w:pPr>
            <w:r w:rsidRPr="004C3B96">
              <w:t>4</w:t>
            </w:r>
          </w:p>
        </w:tc>
        <w:tc>
          <w:tcPr>
            <w:tcW w:w="1260" w:type="dxa"/>
          </w:tcPr>
          <w:p w:rsidR="00AA7A06" w:rsidRPr="004C3B96" w:rsidRDefault="00AA7A06" w:rsidP="002F27A9">
            <w:pPr>
              <w:pStyle w:val="Tablerow"/>
            </w:pPr>
            <w:r w:rsidRPr="004C3B96">
              <w:t>27</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10</w:t>
            </w:r>
          </w:p>
        </w:tc>
        <w:tc>
          <w:tcPr>
            <w:tcW w:w="1260" w:type="dxa"/>
          </w:tcPr>
          <w:p w:rsidR="00AA7A06" w:rsidRPr="004C3B96" w:rsidRDefault="00AA7A06" w:rsidP="002F27A9">
            <w:pPr>
              <w:pStyle w:val="Tablerow"/>
            </w:pPr>
            <w:r w:rsidRPr="004C3B96">
              <w:t>4</w:t>
            </w:r>
          </w:p>
        </w:tc>
        <w:tc>
          <w:tcPr>
            <w:tcW w:w="1260" w:type="dxa"/>
          </w:tcPr>
          <w:p w:rsidR="00AA7A06" w:rsidRPr="004C3B96" w:rsidRDefault="00AA7A06" w:rsidP="002F27A9">
            <w:pPr>
              <w:pStyle w:val="Tablerow"/>
            </w:pPr>
            <w:r w:rsidRPr="004C3B96">
              <w:t>27</w:t>
            </w:r>
          </w:p>
        </w:tc>
      </w:tr>
      <w:tr w:rsidR="00AA7A06" w:rsidRPr="00F90D20" w:rsidTr="00B73093">
        <w:trPr>
          <w:trHeight w:val="67"/>
        </w:trPr>
        <w:tc>
          <w:tcPr>
            <w:tcW w:w="3118" w:type="dxa"/>
            <w:vAlign w:val="bottom"/>
            <w:hideMark/>
          </w:tcPr>
          <w:p w:rsidR="00AA7A06" w:rsidRPr="004C3B96" w:rsidRDefault="00AA7A06" w:rsidP="002F27A9">
            <w:pPr>
              <w:pStyle w:val="Tablerow"/>
            </w:pPr>
            <w:r w:rsidRPr="004C3B96">
              <w:t>Treadmill</w:t>
            </w:r>
          </w:p>
        </w:tc>
        <w:tc>
          <w:tcPr>
            <w:tcW w:w="1260" w:type="dxa"/>
            <w:vAlign w:val="bottom"/>
          </w:tcPr>
          <w:p w:rsidR="00AA7A06" w:rsidRPr="004C3B96" w:rsidRDefault="00AA7A06" w:rsidP="002F27A9">
            <w:pPr>
              <w:pStyle w:val="Tablerow"/>
            </w:pPr>
            <w:r w:rsidRPr="004C3B96">
              <w:t>1%</w:t>
            </w:r>
          </w:p>
        </w:tc>
        <w:tc>
          <w:tcPr>
            <w:tcW w:w="1260" w:type="dxa"/>
          </w:tcPr>
          <w:p w:rsidR="00AA7A06" w:rsidRPr="004C3B96" w:rsidRDefault="00AA7A06" w:rsidP="002F27A9">
            <w:pPr>
              <w:pStyle w:val="Tablerow"/>
            </w:pPr>
            <w:r w:rsidRPr="004C3B96">
              <w:t>9</w:t>
            </w:r>
          </w:p>
        </w:tc>
        <w:tc>
          <w:tcPr>
            <w:tcW w:w="1260" w:type="dxa"/>
          </w:tcPr>
          <w:p w:rsidR="00AA7A06" w:rsidRPr="004C3B96" w:rsidRDefault="00AA7A06" w:rsidP="002F27A9">
            <w:pPr>
              <w:pStyle w:val="Tablerow"/>
            </w:pPr>
            <w:r w:rsidRPr="004C3B96">
              <w:t>5</w:t>
            </w:r>
          </w:p>
        </w:tc>
        <w:tc>
          <w:tcPr>
            <w:tcW w:w="1260" w:type="dxa"/>
          </w:tcPr>
          <w:p w:rsidR="00AA7A06" w:rsidRPr="004C3B96" w:rsidRDefault="00AA7A06" w:rsidP="002F27A9">
            <w:pPr>
              <w:pStyle w:val="Tablerow"/>
            </w:pPr>
            <w:r w:rsidRPr="004C3B96">
              <w:t>42</w:t>
            </w:r>
          </w:p>
        </w:tc>
        <w:tc>
          <w:tcPr>
            <w:tcW w:w="1260" w:type="dxa"/>
            <w:vAlign w:val="bottom"/>
          </w:tcPr>
          <w:p w:rsidR="00AA7A06" w:rsidRPr="004C3B96" w:rsidRDefault="00AA7A06" w:rsidP="002F27A9">
            <w:pPr>
              <w:pStyle w:val="Tablerow"/>
            </w:pPr>
            <w:r w:rsidRPr="004C3B96">
              <w:t>1%</w:t>
            </w:r>
          </w:p>
        </w:tc>
        <w:tc>
          <w:tcPr>
            <w:tcW w:w="1260" w:type="dxa"/>
            <w:vAlign w:val="bottom"/>
          </w:tcPr>
          <w:p w:rsidR="00AA7A06" w:rsidRPr="004C3B96" w:rsidRDefault="00AA7A06" w:rsidP="002F27A9">
            <w:pPr>
              <w:pStyle w:val="Tablerow"/>
            </w:pPr>
            <w:r w:rsidRPr="004C3B96">
              <w:t>100%</w:t>
            </w:r>
          </w:p>
        </w:tc>
        <w:tc>
          <w:tcPr>
            <w:tcW w:w="1260" w:type="dxa"/>
          </w:tcPr>
          <w:p w:rsidR="00AA7A06" w:rsidRPr="004C3B96" w:rsidRDefault="00AA7A06" w:rsidP="002F27A9">
            <w:pPr>
              <w:pStyle w:val="Tablerow"/>
            </w:pPr>
            <w:r w:rsidRPr="004C3B96">
              <w:t>9</w:t>
            </w:r>
          </w:p>
        </w:tc>
        <w:tc>
          <w:tcPr>
            <w:tcW w:w="1260" w:type="dxa"/>
          </w:tcPr>
          <w:p w:rsidR="00AA7A06" w:rsidRPr="004C3B96" w:rsidRDefault="00AA7A06" w:rsidP="002F27A9">
            <w:pPr>
              <w:pStyle w:val="Tablerow"/>
            </w:pPr>
            <w:r w:rsidRPr="004C3B96">
              <w:t>5</w:t>
            </w:r>
          </w:p>
        </w:tc>
        <w:tc>
          <w:tcPr>
            <w:tcW w:w="1260" w:type="dxa"/>
          </w:tcPr>
          <w:p w:rsidR="00AA7A06" w:rsidRPr="004C3B96" w:rsidRDefault="00AA7A06" w:rsidP="002F27A9">
            <w:pPr>
              <w:pStyle w:val="Tablerow"/>
            </w:pPr>
            <w:r w:rsidRPr="004C3B96">
              <w:t>42</w:t>
            </w:r>
          </w:p>
        </w:tc>
      </w:tr>
      <w:tr w:rsidR="00AA7A06" w:rsidRPr="00F90D20" w:rsidTr="00B73093">
        <w:trPr>
          <w:trHeight w:val="67"/>
        </w:trPr>
        <w:tc>
          <w:tcPr>
            <w:tcW w:w="3118" w:type="dxa"/>
            <w:vAlign w:val="bottom"/>
            <w:hideMark/>
          </w:tcPr>
          <w:p w:rsidR="00AA7A06" w:rsidRPr="004C3B96" w:rsidRDefault="00AA7A06" w:rsidP="002F27A9">
            <w:pPr>
              <w:pStyle w:val="Tablerow"/>
            </w:pPr>
            <w:r w:rsidRPr="004C3B96">
              <w:t>All rest</w:t>
            </w:r>
          </w:p>
        </w:tc>
        <w:tc>
          <w:tcPr>
            <w:tcW w:w="1260" w:type="dxa"/>
            <w:vAlign w:val="bottom"/>
          </w:tcPr>
          <w:p w:rsidR="00AA7A06" w:rsidRPr="004C3B96" w:rsidRDefault="00AA7A06" w:rsidP="002F27A9">
            <w:pPr>
              <w:pStyle w:val="Tablerow"/>
            </w:pPr>
            <w:r w:rsidRPr="004C3B96">
              <w:t>14%</w:t>
            </w:r>
          </w:p>
        </w:tc>
        <w:tc>
          <w:tcPr>
            <w:tcW w:w="1260" w:type="dxa"/>
            <w:vAlign w:val="bottom"/>
          </w:tcPr>
          <w:p w:rsidR="00AA7A06" w:rsidRPr="004C3B96" w:rsidRDefault="00AA7A06" w:rsidP="002F27A9">
            <w:pPr>
              <w:pStyle w:val="Tablerow"/>
            </w:pPr>
            <w:r w:rsidRPr="004C3B96">
              <w:t>83</w:t>
            </w:r>
          </w:p>
        </w:tc>
        <w:tc>
          <w:tcPr>
            <w:tcW w:w="1260" w:type="dxa"/>
            <w:vAlign w:val="bottom"/>
          </w:tcPr>
          <w:p w:rsidR="00AA7A06" w:rsidRPr="004C3B96" w:rsidRDefault="00AA7A06" w:rsidP="002F27A9">
            <w:pPr>
              <w:pStyle w:val="Tablerow"/>
            </w:pPr>
            <w:r w:rsidRPr="004C3B96">
              <w:t>115</w:t>
            </w:r>
          </w:p>
        </w:tc>
        <w:tc>
          <w:tcPr>
            <w:tcW w:w="1260" w:type="dxa"/>
            <w:vAlign w:val="bottom"/>
          </w:tcPr>
          <w:p w:rsidR="00AA7A06" w:rsidRPr="004C3B96" w:rsidRDefault="00AA7A06" w:rsidP="002F27A9">
            <w:pPr>
              <w:pStyle w:val="Tablerow"/>
            </w:pPr>
            <w:r w:rsidRPr="004C3B96">
              <w:t>751</w:t>
            </w:r>
          </w:p>
        </w:tc>
        <w:tc>
          <w:tcPr>
            <w:tcW w:w="1260" w:type="dxa"/>
            <w:vAlign w:val="bottom"/>
          </w:tcPr>
          <w:p w:rsidR="00AA7A06" w:rsidRPr="004C3B96" w:rsidRDefault="00AA7A06" w:rsidP="002F27A9">
            <w:pPr>
              <w:pStyle w:val="Tablerow"/>
            </w:pPr>
            <w:r w:rsidRPr="004C3B96">
              <w:t>10%</w:t>
            </w:r>
          </w:p>
        </w:tc>
        <w:tc>
          <w:tcPr>
            <w:tcW w:w="1260" w:type="dxa"/>
            <w:vAlign w:val="bottom"/>
          </w:tcPr>
          <w:p w:rsidR="00AA7A06" w:rsidRPr="004C3B96" w:rsidRDefault="00AA7A06" w:rsidP="002F27A9">
            <w:pPr>
              <w:pStyle w:val="Tablerow"/>
            </w:pPr>
            <w:r w:rsidRPr="004C3B96">
              <w:t>27%</w:t>
            </w:r>
          </w:p>
        </w:tc>
        <w:tc>
          <w:tcPr>
            <w:tcW w:w="1260" w:type="dxa"/>
          </w:tcPr>
          <w:p w:rsidR="00AA7A06" w:rsidRPr="004C3B96" w:rsidRDefault="00AA7A06" w:rsidP="002F27A9">
            <w:pPr>
              <w:pStyle w:val="Tablerow"/>
            </w:pPr>
            <w:r w:rsidRPr="004C3B96">
              <w:t>39</w:t>
            </w:r>
          </w:p>
        </w:tc>
        <w:tc>
          <w:tcPr>
            <w:tcW w:w="1260" w:type="dxa"/>
            <w:vAlign w:val="bottom"/>
          </w:tcPr>
          <w:p w:rsidR="00AA7A06" w:rsidRPr="004C3B96" w:rsidRDefault="00AA7A06" w:rsidP="002F27A9">
            <w:pPr>
              <w:pStyle w:val="Tablerow"/>
            </w:pPr>
            <w:r w:rsidRPr="004C3B96">
              <w:t>55</w:t>
            </w:r>
          </w:p>
        </w:tc>
        <w:tc>
          <w:tcPr>
            <w:tcW w:w="1260" w:type="dxa"/>
            <w:vAlign w:val="bottom"/>
          </w:tcPr>
          <w:p w:rsidR="00AA7A06" w:rsidRPr="004C3B96" w:rsidRDefault="00AA7A06" w:rsidP="002F27A9">
            <w:pPr>
              <w:pStyle w:val="Tablerow"/>
            </w:pPr>
            <w:r w:rsidRPr="004C3B96">
              <w:t>329</w:t>
            </w:r>
          </w:p>
        </w:tc>
      </w:tr>
    </w:tbl>
    <w:p w:rsidR="00737DF6" w:rsidRDefault="00737DF6" w:rsidP="00737DF6">
      <w:pPr>
        <w:pStyle w:val="Caption"/>
      </w:pPr>
      <w:bookmarkStart w:id="65" w:name="_Ref463971743"/>
    </w:p>
    <w:p w:rsidR="00737DF6" w:rsidRDefault="00737DF6">
      <w:pPr>
        <w:keepLines w:val="0"/>
        <w:spacing w:after="0" w:line="240" w:lineRule="auto"/>
        <w:rPr>
          <w:rFonts w:eastAsia="Times New Roman"/>
          <w:b/>
          <w:bCs/>
          <w:noProof/>
          <w:color w:val="53565A"/>
          <w:spacing w:val="0"/>
        </w:rPr>
      </w:pPr>
      <w:r>
        <w:br w:type="page"/>
      </w:r>
    </w:p>
    <w:p w:rsidR="00952230" w:rsidRPr="00500F57" w:rsidRDefault="00B73093" w:rsidP="00737DF6">
      <w:pPr>
        <w:pStyle w:val="Caption"/>
      </w:pPr>
      <w:r>
        <w:lastRenderedPageBreak/>
        <w:t>T</w:t>
      </w:r>
      <w:r w:rsidR="00952230" w:rsidRPr="00500F57">
        <w:t>able</w:t>
      </w:r>
      <w:bookmarkEnd w:id="65"/>
      <w:r w:rsidR="005A7653">
        <w:t xml:space="preserve"> 7</w:t>
      </w:r>
      <w:r w:rsidR="00952230" w:rsidRPr="00500F57">
        <w:t>:</w:t>
      </w:r>
      <w:r w:rsidR="00D55005" w:rsidRPr="00500F57">
        <w:t xml:space="preserve"> </w:t>
      </w:r>
      <w:r w:rsidR="00952230" w:rsidRPr="00500F57">
        <w:t>How physical and active recreatio</w:t>
      </w:r>
      <w:r w:rsidR="00A31CC2" w:rsidRPr="00500F57">
        <w:t>n participation changes by age and gender (</w:t>
      </w:r>
      <w:r w:rsidR="00821436" w:rsidRPr="00500F57">
        <w:t xml:space="preserve">per year, </w:t>
      </w:r>
      <w:r w:rsidR="00A31CC2" w:rsidRPr="00500F57">
        <w:t>whole of Victoria)</w:t>
      </w:r>
    </w:p>
    <w:tbl>
      <w:tblPr>
        <w:tblStyle w:val="TableGrid1"/>
        <w:tblW w:w="1485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66"/>
        <w:gridCol w:w="1060"/>
        <w:gridCol w:w="1101"/>
        <w:gridCol w:w="1019"/>
        <w:gridCol w:w="1061"/>
        <w:gridCol w:w="1060"/>
        <w:gridCol w:w="1060"/>
        <w:gridCol w:w="1061"/>
        <w:gridCol w:w="1060"/>
        <w:gridCol w:w="1060"/>
        <w:gridCol w:w="1061"/>
        <w:gridCol w:w="1060"/>
        <w:gridCol w:w="1060"/>
        <w:gridCol w:w="1061"/>
      </w:tblGrid>
      <w:tr w:rsidR="001B605F" w:rsidRPr="00F90D20" w:rsidTr="00B73093">
        <w:trPr>
          <w:trHeight w:val="1255"/>
          <w:tblHeader/>
        </w:trPr>
        <w:tc>
          <w:tcPr>
            <w:tcW w:w="1066"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Age</w:t>
            </w:r>
          </w:p>
        </w:tc>
        <w:tc>
          <w:tcPr>
            <w:tcW w:w="1060" w:type="dxa"/>
            <w:tcBorders>
              <w:top w:val="single" w:sz="4" w:space="0" w:color="808080" w:themeColor="background1" w:themeShade="80"/>
              <w:bottom w:val="single" w:sz="4" w:space="0" w:color="808080" w:themeColor="background1" w:themeShade="80"/>
            </w:tcBorders>
            <w:hideMark/>
          </w:tcPr>
          <w:p w:rsidR="00D55005" w:rsidRPr="00B73093" w:rsidRDefault="001B605F" w:rsidP="002F27A9">
            <w:pPr>
              <w:pStyle w:val="Tablerow"/>
              <w:rPr>
                <w:b/>
                <w:sz w:val="16"/>
                <w:szCs w:val="16"/>
              </w:rPr>
            </w:pPr>
            <w:r w:rsidRPr="00B73093">
              <w:rPr>
                <w:b/>
                <w:sz w:val="16"/>
                <w:szCs w:val="16"/>
              </w:rPr>
              <w:t>Population 15 and over</w:t>
            </w:r>
          </w:p>
          <w:p w:rsidR="001B605F" w:rsidRPr="00B73093" w:rsidRDefault="001B605F" w:rsidP="002F27A9">
            <w:pPr>
              <w:pStyle w:val="Tablerow"/>
              <w:rPr>
                <w:b/>
                <w:sz w:val="16"/>
                <w:szCs w:val="16"/>
              </w:rPr>
            </w:pPr>
            <w:r w:rsidRPr="00B73093">
              <w:rPr>
                <w:b/>
                <w:sz w:val="16"/>
                <w:szCs w:val="16"/>
              </w:rPr>
              <w:t>(</w:t>
            </w:r>
            <w:r w:rsidR="00BD6718" w:rsidRPr="00B73093">
              <w:rPr>
                <w:b/>
                <w:sz w:val="16"/>
                <w:szCs w:val="16"/>
              </w:rPr>
              <w:t>’</w:t>
            </w:r>
            <w:r w:rsidRPr="00B73093">
              <w:rPr>
                <w:b/>
                <w:sz w:val="16"/>
                <w:szCs w:val="16"/>
              </w:rPr>
              <w:t>000)</w:t>
            </w:r>
          </w:p>
        </w:tc>
        <w:tc>
          <w:tcPr>
            <w:tcW w:w="1101"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Proportion of Victorians who participated in physical activity at least once</w:t>
            </w:r>
          </w:p>
        </w:tc>
        <w:tc>
          <w:tcPr>
            <w:tcW w:w="1019"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Proportion of Victorians who are physically inactive</w:t>
            </w:r>
          </w:p>
        </w:tc>
        <w:tc>
          <w:tcPr>
            <w:tcW w:w="1061"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Total physical activity sessions</w:t>
            </w:r>
            <w:r w:rsidR="00821436" w:rsidRPr="00B73093">
              <w:rPr>
                <w:b/>
                <w:sz w:val="16"/>
                <w:szCs w:val="16"/>
              </w:rPr>
              <w:t xml:space="preserve"> per year</w:t>
            </w:r>
          </w:p>
          <w:p w:rsidR="001B605F" w:rsidRPr="00B73093" w:rsidRDefault="001B605F" w:rsidP="002F27A9">
            <w:pPr>
              <w:pStyle w:val="Tablerow"/>
              <w:rPr>
                <w:b/>
                <w:sz w:val="16"/>
                <w:szCs w:val="16"/>
              </w:rPr>
            </w:pPr>
            <w:r w:rsidRPr="00B73093">
              <w:rPr>
                <w:b/>
                <w:sz w:val="16"/>
                <w:szCs w:val="16"/>
              </w:rPr>
              <w:t>(millions)</w:t>
            </w:r>
          </w:p>
        </w:tc>
        <w:tc>
          <w:tcPr>
            <w:tcW w:w="1060"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Total physical activity hours</w:t>
            </w:r>
            <w:r w:rsidR="00821436" w:rsidRPr="00B73093">
              <w:rPr>
                <w:b/>
                <w:sz w:val="16"/>
                <w:szCs w:val="16"/>
              </w:rPr>
              <w:t xml:space="preserve"> per year</w:t>
            </w:r>
          </w:p>
          <w:p w:rsidR="001B605F" w:rsidRPr="00B73093" w:rsidRDefault="001B605F" w:rsidP="002F27A9">
            <w:pPr>
              <w:pStyle w:val="Tablerow"/>
              <w:rPr>
                <w:b/>
                <w:sz w:val="16"/>
                <w:szCs w:val="16"/>
              </w:rPr>
            </w:pPr>
            <w:r w:rsidRPr="00B73093">
              <w:rPr>
                <w:b/>
                <w:sz w:val="16"/>
                <w:szCs w:val="16"/>
              </w:rPr>
              <w:t>(millions)</w:t>
            </w:r>
          </w:p>
        </w:tc>
        <w:tc>
          <w:tcPr>
            <w:tcW w:w="1060"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Total MET</w:t>
            </w:r>
            <w:r w:rsidR="00A7401A" w:rsidRPr="00B73093">
              <w:rPr>
                <w:b/>
                <w:sz w:val="16"/>
                <w:szCs w:val="16"/>
              </w:rPr>
              <w:t>s</w:t>
            </w:r>
            <w:r w:rsidR="00821436" w:rsidRPr="00B73093">
              <w:rPr>
                <w:b/>
                <w:sz w:val="16"/>
                <w:szCs w:val="16"/>
              </w:rPr>
              <w:t xml:space="preserve"> per year</w:t>
            </w:r>
          </w:p>
          <w:p w:rsidR="001B605F" w:rsidRPr="00B73093" w:rsidRDefault="001B605F" w:rsidP="002F27A9">
            <w:pPr>
              <w:pStyle w:val="Tablerow"/>
              <w:rPr>
                <w:b/>
                <w:sz w:val="16"/>
                <w:szCs w:val="16"/>
              </w:rPr>
            </w:pPr>
            <w:r w:rsidRPr="00B73093">
              <w:rPr>
                <w:b/>
                <w:sz w:val="16"/>
                <w:szCs w:val="16"/>
              </w:rPr>
              <w:t>(millions)</w:t>
            </w:r>
          </w:p>
        </w:tc>
        <w:tc>
          <w:tcPr>
            <w:tcW w:w="1061"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Average physical activity hours per capita</w:t>
            </w:r>
          </w:p>
        </w:tc>
        <w:tc>
          <w:tcPr>
            <w:tcW w:w="1060"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Average physical activity MET hours per capita</w:t>
            </w:r>
          </w:p>
        </w:tc>
        <w:tc>
          <w:tcPr>
            <w:tcW w:w="1060"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Proportion of activity sessions classified as active recreation</w:t>
            </w:r>
          </w:p>
        </w:tc>
        <w:tc>
          <w:tcPr>
            <w:tcW w:w="1061"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Estimated number of active recreation exercise hours (millions)</w:t>
            </w:r>
          </w:p>
        </w:tc>
        <w:tc>
          <w:tcPr>
            <w:tcW w:w="1060" w:type="dxa"/>
            <w:tcBorders>
              <w:top w:val="single" w:sz="4" w:space="0" w:color="808080" w:themeColor="background1" w:themeShade="80"/>
              <w:bottom w:val="single" w:sz="4" w:space="0" w:color="808080" w:themeColor="background1" w:themeShade="80"/>
            </w:tcBorders>
            <w:hideMark/>
          </w:tcPr>
          <w:p w:rsidR="00D55005" w:rsidRPr="00B73093" w:rsidRDefault="001B605F" w:rsidP="002F27A9">
            <w:pPr>
              <w:pStyle w:val="Tablerow"/>
              <w:rPr>
                <w:b/>
                <w:sz w:val="16"/>
                <w:szCs w:val="16"/>
              </w:rPr>
            </w:pPr>
            <w:r w:rsidRPr="00B73093">
              <w:rPr>
                <w:b/>
                <w:sz w:val="16"/>
                <w:szCs w:val="16"/>
              </w:rPr>
              <w:t>Estimated active recreation MET hours</w:t>
            </w:r>
          </w:p>
          <w:p w:rsidR="001B605F" w:rsidRPr="00B73093" w:rsidRDefault="001B605F" w:rsidP="002F27A9">
            <w:pPr>
              <w:pStyle w:val="Tablerow"/>
              <w:rPr>
                <w:b/>
                <w:sz w:val="16"/>
                <w:szCs w:val="16"/>
              </w:rPr>
            </w:pPr>
            <w:r w:rsidRPr="00B73093">
              <w:rPr>
                <w:b/>
                <w:sz w:val="16"/>
                <w:szCs w:val="16"/>
              </w:rPr>
              <w:t>(millions)</w:t>
            </w:r>
          </w:p>
        </w:tc>
        <w:tc>
          <w:tcPr>
            <w:tcW w:w="1060" w:type="dxa"/>
            <w:tcBorders>
              <w:top w:val="single" w:sz="4" w:space="0" w:color="808080" w:themeColor="background1" w:themeShade="80"/>
              <w:bottom w:val="single" w:sz="4" w:space="0" w:color="808080" w:themeColor="background1" w:themeShade="80"/>
            </w:tcBorders>
            <w:hideMark/>
          </w:tcPr>
          <w:p w:rsidR="001B605F" w:rsidRPr="00B73093" w:rsidRDefault="001B605F" w:rsidP="002F27A9">
            <w:pPr>
              <w:pStyle w:val="Tablerow"/>
              <w:rPr>
                <w:b/>
                <w:sz w:val="16"/>
                <w:szCs w:val="16"/>
              </w:rPr>
            </w:pPr>
            <w:r w:rsidRPr="00B73093">
              <w:rPr>
                <w:b/>
                <w:sz w:val="16"/>
                <w:szCs w:val="16"/>
              </w:rPr>
              <w:t>Average active recreation hours per capita</w:t>
            </w:r>
          </w:p>
        </w:tc>
        <w:tc>
          <w:tcPr>
            <w:tcW w:w="1061" w:type="dxa"/>
            <w:tcBorders>
              <w:top w:val="single" w:sz="4" w:space="0" w:color="808080" w:themeColor="background1" w:themeShade="80"/>
              <w:bottom w:val="single" w:sz="4" w:space="0" w:color="808080" w:themeColor="background1" w:themeShade="80"/>
            </w:tcBorders>
            <w:hideMark/>
          </w:tcPr>
          <w:p w:rsidR="001B605F" w:rsidRPr="00B73093" w:rsidRDefault="00F573C7" w:rsidP="002F27A9">
            <w:pPr>
              <w:pStyle w:val="Tablerow"/>
              <w:rPr>
                <w:b/>
                <w:sz w:val="16"/>
                <w:szCs w:val="16"/>
              </w:rPr>
            </w:pPr>
            <w:r w:rsidRPr="00B73093">
              <w:rPr>
                <w:b/>
                <w:sz w:val="16"/>
                <w:szCs w:val="16"/>
              </w:rPr>
              <w:t>Average active recreation MET</w:t>
            </w:r>
            <w:r w:rsidR="00A7401A" w:rsidRPr="00B73093">
              <w:rPr>
                <w:b/>
                <w:sz w:val="16"/>
                <w:szCs w:val="16"/>
              </w:rPr>
              <w:t>s</w:t>
            </w:r>
            <w:r w:rsidR="001B605F" w:rsidRPr="00B73093">
              <w:rPr>
                <w:b/>
                <w:sz w:val="16"/>
                <w:szCs w:val="16"/>
              </w:rPr>
              <w:t xml:space="preserve"> per capita</w:t>
            </w:r>
          </w:p>
        </w:tc>
      </w:tr>
      <w:tr w:rsidR="00642EDE" w:rsidRPr="00F90D20" w:rsidTr="00B73093">
        <w:trPr>
          <w:trHeight w:val="303"/>
        </w:trPr>
        <w:tc>
          <w:tcPr>
            <w:tcW w:w="1066" w:type="dxa"/>
            <w:tcBorders>
              <w:top w:val="single" w:sz="4" w:space="0" w:color="808080" w:themeColor="background1" w:themeShade="80"/>
            </w:tcBorders>
            <w:hideMark/>
          </w:tcPr>
          <w:p w:rsidR="00642EDE" w:rsidRPr="00F90D20" w:rsidRDefault="00642EDE" w:rsidP="002F27A9">
            <w:pPr>
              <w:pStyle w:val="Tablerow"/>
            </w:pPr>
            <w:r w:rsidRPr="00F90D20">
              <w:t>Total</w:t>
            </w:r>
          </w:p>
        </w:tc>
        <w:tc>
          <w:tcPr>
            <w:tcW w:w="1060" w:type="dxa"/>
            <w:tcBorders>
              <w:top w:val="single" w:sz="4" w:space="0" w:color="808080" w:themeColor="background1" w:themeShade="80"/>
            </w:tcBorders>
            <w:hideMark/>
          </w:tcPr>
          <w:p w:rsidR="00642EDE" w:rsidRPr="00F90D20" w:rsidRDefault="006129D1" w:rsidP="002F27A9">
            <w:pPr>
              <w:pStyle w:val="Tablerow"/>
              <w:rPr>
                <w:b/>
              </w:rPr>
            </w:pPr>
            <w:r w:rsidRPr="00F90D20">
              <w:t>4838.2</w:t>
            </w:r>
          </w:p>
        </w:tc>
        <w:tc>
          <w:tcPr>
            <w:tcW w:w="1101" w:type="dxa"/>
            <w:tcBorders>
              <w:top w:val="single" w:sz="4" w:space="0" w:color="808080" w:themeColor="background1" w:themeShade="80"/>
            </w:tcBorders>
            <w:hideMark/>
          </w:tcPr>
          <w:p w:rsidR="00642EDE" w:rsidRPr="00F90D20" w:rsidRDefault="00642EDE" w:rsidP="002F27A9">
            <w:pPr>
              <w:pStyle w:val="Tablerow"/>
              <w:rPr>
                <w:b/>
              </w:rPr>
            </w:pPr>
            <w:r w:rsidRPr="00F90D20">
              <w:t>81%</w:t>
            </w:r>
          </w:p>
        </w:tc>
        <w:tc>
          <w:tcPr>
            <w:tcW w:w="1019" w:type="dxa"/>
            <w:tcBorders>
              <w:top w:val="single" w:sz="4" w:space="0" w:color="808080" w:themeColor="background1" w:themeShade="80"/>
            </w:tcBorders>
            <w:hideMark/>
          </w:tcPr>
          <w:p w:rsidR="00642EDE" w:rsidRPr="00F90D20" w:rsidRDefault="00642EDE" w:rsidP="002F27A9">
            <w:pPr>
              <w:pStyle w:val="Tablerow"/>
            </w:pPr>
            <w:r w:rsidRPr="00F90D20">
              <w:t>50%</w:t>
            </w:r>
          </w:p>
        </w:tc>
        <w:tc>
          <w:tcPr>
            <w:tcW w:w="1061" w:type="dxa"/>
            <w:tcBorders>
              <w:top w:val="single" w:sz="4" w:space="0" w:color="808080" w:themeColor="background1" w:themeShade="80"/>
            </w:tcBorders>
            <w:hideMark/>
          </w:tcPr>
          <w:p w:rsidR="00642EDE" w:rsidRPr="00F90D20" w:rsidRDefault="006129D1" w:rsidP="002F27A9">
            <w:pPr>
              <w:pStyle w:val="Tablerow"/>
              <w:rPr>
                <w:b/>
              </w:rPr>
            </w:pPr>
            <w:r w:rsidRPr="00F90D20">
              <w:t>837</w:t>
            </w:r>
          </w:p>
        </w:tc>
        <w:tc>
          <w:tcPr>
            <w:tcW w:w="1060" w:type="dxa"/>
            <w:tcBorders>
              <w:top w:val="single" w:sz="4" w:space="0" w:color="808080" w:themeColor="background1" w:themeShade="80"/>
            </w:tcBorders>
            <w:hideMark/>
          </w:tcPr>
          <w:p w:rsidR="00642EDE" w:rsidRPr="00F90D20" w:rsidRDefault="006129D1" w:rsidP="002F27A9">
            <w:pPr>
              <w:pStyle w:val="Tablerow"/>
              <w:rPr>
                <w:b/>
              </w:rPr>
            </w:pPr>
            <w:r w:rsidRPr="00F90D20">
              <w:t>774</w:t>
            </w:r>
          </w:p>
        </w:tc>
        <w:tc>
          <w:tcPr>
            <w:tcW w:w="1060" w:type="dxa"/>
            <w:tcBorders>
              <w:top w:val="single" w:sz="4" w:space="0" w:color="808080" w:themeColor="background1" w:themeShade="80"/>
            </w:tcBorders>
            <w:hideMark/>
          </w:tcPr>
          <w:p w:rsidR="00642EDE" w:rsidRPr="00F90D20" w:rsidRDefault="006129D1" w:rsidP="002F27A9">
            <w:pPr>
              <w:pStyle w:val="Tablerow"/>
              <w:rPr>
                <w:b/>
              </w:rPr>
            </w:pPr>
            <w:r w:rsidRPr="00F90D20">
              <w:t>4,169</w:t>
            </w:r>
          </w:p>
        </w:tc>
        <w:tc>
          <w:tcPr>
            <w:tcW w:w="1061" w:type="dxa"/>
            <w:tcBorders>
              <w:top w:val="single" w:sz="4" w:space="0" w:color="808080" w:themeColor="background1" w:themeShade="80"/>
            </w:tcBorders>
            <w:hideMark/>
          </w:tcPr>
          <w:p w:rsidR="00642EDE" w:rsidRPr="00F90D20" w:rsidRDefault="00642EDE" w:rsidP="002F27A9">
            <w:pPr>
              <w:pStyle w:val="Tablerow"/>
              <w:rPr>
                <w:b/>
              </w:rPr>
            </w:pPr>
            <w:r w:rsidRPr="00F90D20">
              <w:t>160</w:t>
            </w:r>
          </w:p>
        </w:tc>
        <w:tc>
          <w:tcPr>
            <w:tcW w:w="1060" w:type="dxa"/>
            <w:tcBorders>
              <w:top w:val="single" w:sz="4" w:space="0" w:color="808080" w:themeColor="background1" w:themeShade="80"/>
            </w:tcBorders>
            <w:hideMark/>
          </w:tcPr>
          <w:p w:rsidR="00642EDE" w:rsidRPr="00F90D20" w:rsidRDefault="006129D1" w:rsidP="002F27A9">
            <w:pPr>
              <w:pStyle w:val="Tablerow"/>
              <w:rPr>
                <w:b/>
              </w:rPr>
            </w:pPr>
            <w:r w:rsidRPr="00F90D20">
              <w:t>862</w:t>
            </w:r>
          </w:p>
        </w:tc>
        <w:tc>
          <w:tcPr>
            <w:tcW w:w="1060" w:type="dxa"/>
            <w:tcBorders>
              <w:top w:val="single" w:sz="4" w:space="0" w:color="808080" w:themeColor="background1" w:themeShade="80"/>
            </w:tcBorders>
            <w:hideMark/>
          </w:tcPr>
          <w:p w:rsidR="00642EDE" w:rsidRPr="00F90D20" w:rsidRDefault="006129D1" w:rsidP="002F27A9">
            <w:pPr>
              <w:pStyle w:val="Tablerow"/>
              <w:rPr>
                <w:b/>
              </w:rPr>
            </w:pPr>
            <w:r w:rsidRPr="00F90D20">
              <w:t>87</w:t>
            </w:r>
            <w:r w:rsidR="00642EDE" w:rsidRPr="00F90D20">
              <w:t>%</w:t>
            </w:r>
          </w:p>
        </w:tc>
        <w:tc>
          <w:tcPr>
            <w:tcW w:w="1061" w:type="dxa"/>
            <w:tcBorders>
              <w:top w:val="single" w:sz="4" w:space="0" w:color="808080" w:themeColor="background1" w:themeShade="80"/>
            </w:tcBorders>
            <w:hideMark/>
          </w:tcPr>
          <w:p w:rsidR="00642EDE" w:rsidRPr="00F90D20" w:rsidRDefault="00642EDE" w:rsidP="002F27A9">
            <w:pPr>
              <w:pStyle w:val="Tablerow"/>
              <w:rPr>
                <w:b/>
              </w:rPr>
            </w:pPr>
            <w:r w:rsidRPr="00F90D20">
              <w:t>662</w:t>
            </w:r>
          </w:p>
        </w:tc>
        <w:tc>
          <w:tcPr>
            <w:tcW w:w="1060" w:type="dxa"/>
            <w:tcBorders>
              <w:top w:val="single" w:sz="4" w:space="0" w:color="808080" w:themeColor="background1" w:themeShade="80"/>
            </w:tcBorders>
            <w:hideMark/>
          </w:tcPr>
          <w:p w:rsidR="00642EDE" w:rsidRPr="00F90D20" w:rsidRDefault="006129D1" w:rsidP="002F27A9">
            <w:pPr>
              <w:pStyle w:val="Tablerow"/>
              <w:rPr>
                <w:b/>
              </w:rPr>
            </w:pPr>
            <w:r w:rsidRPr="00F90D20">
              <w:t>2,654</w:t>
            </w:r>
          </w:p>
        </w:tc>
        <w:tc>
          <w:tcPr>
            <w:tcW w:w="1060" w:type="dxa"/>
            <w:tcBorders>
              <w:top w:val="single" w:sz="4" w:space="0" w:color="808080" w:themeColor="background1" w:themeShade="80"/>
            </w:tcBorders>
            <w:hideMark/>
          </w:tcPr>
          <w:p w:rsidR="00642EDE" w:rsidRPr="00F90D20" w:rsidRDefault="006129D1" w:rsidP="002F27A9">
            <w:pPr>
              <w:pStyle w:val="Tablerow"/>
              <w:rPr>
                <w:b/>
              </w:rPr>
            </w:pPr>
            <w:r w:rsidRPr="00F90D20">
              <w:t>127</w:t>
            </w:r>
          </w:p>
        </w:tc>
        <w:tc>
          <w:tcPr>
            <w:tcW w:w="1061" w:type="dxa"/>
            <w:tcBorders>
              <w:top w:val="single" w:sz="4" w:space="0" w:color="808080" w:themeColor="background1" w:themeShade="80"/>
            </w:tcBorders>
            <w:hideMark/>
          </w:tcPr>
          <w:p w:rsidR="00642EDE" w:rsidRPr="00F90D20" w:rsidRDefault="006129D1" w:rsidP="002F27A9">
            <w:pPr>
              <w:pStyle w:val="Tablerow"/>
              <w:rPr>
                <w:b/>
              </w:rPr>
            </w:pPr>
            <w:r w:rsidRPr="00F90D20">
              <w:t>577</w:t>
            </w:r>
          </w:p>
        </w:tc>
      </w:tr>
      <w:tr w:rsidR="004F453F" w:rsidRPr="00F90D20" w:rsidTr="00B73093">
        <w:tc>
          <w:tcPr>
            <w:tcW w:w="1066" w:type="dxa"/>
            <w:hideMark/>
          </w:tcPr>
          <w:p w:rsidR="004F453F" w:rsidRPr="00F90D20" w:rsidRDefault="004F453F" w:rsidP="002F27A9">
            <w:pPr>
              <w:pStyle w:val="Tablerow"/>
            </w:pPr>
            <w:r w:rsidRPr="00F90D20">
              <w:t>Females</w:t>
            </w:r>
          </w:p>
        </w:tc>
        <w:tc>
          <w:tcPr>
            <w:tcW w:w="1060" w:type="dxa"/>
            <w:hideMark/>
          </w:tcPr>
          <w:p w:rsidR="004F453F" w:rsidRPr="00F90D20" w:rsidRDefault="004F453F" w:rsidP="002F27A9">
            <w:pPr>
              <w:pStyle w:val="Tablerow"/>
              <w:rPr>
                <w:b/>
              </w:rPr>
            </w:pPr>
            <w:r w:rsidRPr="00F90D20">
              <w:t>2,628</w:t>
            </w:r>
          </w:p>
        </w:tc>
        <w:tc>
          <w:tcPr>
            <w:tcW w:w="1101" w:type="dxa"/>
            <w:hideMark/>
          </w:tcPr>
          <w:p w:rsidR="004F453F" w:rsidRPr="00F90D20" w:rsidRDefault="004F453F" w:rsidP="002F27A9">
            <w:pPr>
              <w:pStyle w:val="Tablerow"/>
              <w:rPr>
                <w:b/>
              </w:rPr>
            </w:pPr>
            <w:r w:rsidRPr="00F90D20">
              <w:t>81%</w:t>
            </w:r>
          </w:p>
        </w:tc>
        <w:tc>
          <w:tcPr>
            <w:tcW w:w="1019" w:type="dxa"/>
            <w:hideMark/>
          </w:tcPr>
          <w:p w:rsidR="004F453F" w:rsidRPr="00F90D20" w:rsidRDefault="004F453F" w:rsidP="002F27A9">
            <w:pPr>
              <w:pStyle w:val="Tablerow"/>
              <w:rPr>
                <w:b/>
              </w:rPr>
            </w:pPr>
            <w:r w:rsidRPr="00F90D20">
              <w:t>51%</w:t>
            </w:r>
          </w:p>
        </w:tc>
        <w:tc>
          <w:tcPr>
            <w:tcW w:w="1061" w:type="dxa"/>
            <w:hideMark/>
          </w:tcPr>
          <w:p w:rsidR="004F453F" w:rsidRPr="00F90D20" w:rsidRDefault="004F453F" w:rsidP="002F27A9">
            <w:pPr>
              <w:pStyle w:val="Tablerow"/>
              <w:rPr>
                <w:b/>
              </w:rPr>
            </w:pPr>
            <w:r w:rsidRPr="00F90D20">
              <w:t>484</w:t>
            </w:r>
          </w:p>
        </w:tc>
        <w:tc>
          <w:tcPr>
            <w:tcW w:w="1060" w:type="dxa"/>
            <w:hideMark/>
          </w:tcPr>
          <w:p w:rsidR="004F453F" w:rsidRPr="00F90D20" w:rsidRDefault="004F453F" w:rsidP="002F27A9">
            <w:pPr>
              <w:pStyle w:val="Tablerow"/>
              <w:rPr>
                <w:b/>
              </w:rPr>
            </w:pPr>
            <w:r w:rsidRPr="00F90D20">
              <w:t>386</w:t>
            </w:r>
          </w:p>
        </w:tc>
        <w:tc>
          <w:tcPr>
            <w:tcW w:w="1060" w:type="dxa"/>
            <w:hideMark/>
          </w:tcPr>
          <w:p w:rsidR="004F453F" w:rsidRPr="00F90D20" w:rsidRDefault="004F453F" w:rsidP="002F27A9">
            <w:pPr>
              <w:pStyle w:val="Tablerow"/>
              <w:rPr>
                <w:b/>
              </w:rPr>
            </w:pPr>
            <w:r w:rsidRPr="00F90D20">
              <w:t>2,085</w:t>
            </w:r>
          </w:p>
        </w:tc>
        <w:tc>
          <w:tcPr>
            <w:tcW w:w="1061" w:type="dxa"/>
            <w:hideMark/>
          </w:tcPr>
          <w:p w:rsidR="004F453F" w:rsidRPr="00F90D20" w:rsidRDefault="004F453F" w:rsidP="002F27A9">
            <w:pPr>
              <w:pStyle w:val="Tablerow"/>
              <w:rPr>
                <w:b/>
              </w:rPr>
            </w:pPr>
            <w:r w:rsidRPr="00F90D20">
              <w:t>147</w:t>
            </w:r>
          </w:p>
        </w:tc>
        <w:tc>
          <w:tcPr>
            <w:tcW w:w="1060" w:type="dxa"/>
            <w:hideMark/>
          </w:tcPr>
          <w:p w:rsidR="004F453F" w:rsidRPr="00F90D20" w:rsidRDefault="004F453F" w:rsidP="002F27A9">
            <w:pPr>
              <w:pStyle w:val="Tablerow"/>
              <w:rPr>
                <w:b/>
              </w:rPr>
            </w:pPr>
            <w:r w:rsidRPr="00F90D20">
              <w:t>794</w:t>
            </w:r>
          </w:p>
        </w:tc>
        <w:tc>
          <w:tcPr>
            <w:tcW w:w="1060" w:type="dxa"/>
            <w:hideMark/>
          </w:tcPr>
          <w:p w:rsidR="004F453F" w:rsidRPr="00F90D20" w:rsidRDefault="004F453F" w:rsidP="002F27A9">
            <w:pPr>
              <w:pStyle w:val="Tablerow"/>
              <w:rPr>
                <w:b/>
              </w:rPr>
            </w:pPr>
            <w:r w:rsidRPr="00F90D20">
              <w:t>87%</w:t>
            </w:r>
          </w:p>
        </w:tc>
        <w:tc>
          <w:tcPr>
            <w:tcW w:w="1061" w:type="dxa"/>
            <w:hideMark/>
          </w:tcPr>
          <w:p w:rsidR="004F453F" w:rsidRPr="00F90D20" w:rsidRDefault="004F453F" w:rsidP="002F27A9">
            <w:pPr>
              <w:pStyle w:val="Tablerow"/>
              <w:rPr>
                <w:b/>
              </w:rPr>
            </w:pPr>
            <w:r w:rsidRPr="00F90D20">
              <w:t>421</w:t>
            </w:r>
          </w:p>
        </w:tc>
        <w:tc>
          <w:tcPr>
            <w:tcW w:w="1060" w:type="dxa"/>
            <w:hideMark/>
          </w:tcPr>
          <w:p w:rsidR="004F453F" w:rsidRPr="00F90D20" w:rsidRDefault="004F453F" w:rsidP="002F27A9">
            <w:pPr>
              <w:pStyle w:val="Tablerow"/>
              <w:rPr>
                <w:b/>
              </w:rPr>
            </w:pPr>
            <w:r w:rsidRPr="00F90D20">
              <w:t>1,520</w:t>
            </w:r>
          </w:p>
        </w:tc>
        <w:tc>
          <w:tcPr>
            <w:tcW w:w="1060" w:type="dxa"/>
            <w:hideMark/>
          </w:tcPr>
          <w:p w:rsidR="004F453F" w:rsidRPr="00F90D20" w:rsidRDefault="004F453F" w:rsidP="002F27A9">
            <w:pPr>
              <w:pStyle w:val="Tablerow"/>
              <w:rPr>
                <w:b/>
              </w:rPr>
            </w:pPr>
            <w:r w:rsidRPr="00F90D20">
              <w:t>118</w:t>
            </w:r>
          </w:p>
        </w:tc>
        <w:tc>
          <w:tcPr>
            <w:tcW w:w="1061" w:type="dxa"/>
            <w:hideMark/>
          </w:tcPr>
          <w:p w:rsidR="004F453F" w:rsidRPr="00F90D20" w:rsidRDefault="004F453F" w:rsidP="002F27A9">
            <w:pPr>
              <w:pStyle w:val="Tablerow"/>
              <w:rPr>
                <w:b/>
              </w:rPr>
            </w:pPr>
            <w:r w:rsidRPr="00F90D20">
              <w:t>118</w:t>
            </w:r>
          </w:p>
        </w:tc>
      </w:tr>
      <w:tr w:rsidR="004F453F" w:rsidRPr="00F90D20" w:rsidTr="00B73093">
        <w:tc>
          <w:tcPr>
            <w:tcW w:w="1066" w:type="dxa"/>
            <w:hideMark/>
          </w:tcPr>
          <w:p w:rsidR="004F453F" w:rsidRPr="00F90D20" w:rsidRDefault="004F453F" w:rsidP="002F27A9">
            <w:pPr>
              <w:pStyle w:val="Tablerow"/>
            </w:pPr>
            <w:r w:rsidRPr="00F90D20">
              <w:t>15 to 17</w:t>
            </w:r>
          </w:p>
        </w:tc>
        <w:tc>
          <w:tcPr>
            <w:tcW w:w="1060" w:type="dxa"/>
            <w:hideMark/>
          </w:tcPr>
          <w:p w:rsidR="004F453F" w:rsidRPr="00F90D20" w:rsidRDefault="004F453F" w:rsidP="002F27A9">
            <w:pPr>
              <w:pStyle w:val="Tablerow"/>
            </w:pPr>
            <w:r w:rsidRPr="00F90D20">
              <w:t>105</w:t>
            </w:r>
          </w:p>
        </w:tc>
        <w:tc>
          <w:tcPr>
            <w:tcW w:w="1101" w:type="dxa"/>
            <w:hideMark/>
          </w:tcPr>
          <w:p w:rsidR="004F453F" w:rsidRPr="00F90D20" w:rsidRDefault="004F453F" w:rsidP="002F27A9">
            <w:pPr>
              <w:pStyle w:val="Tablerow"/>
            </w:pPr>
            <w:r w:rsidRPr="00F90D20">
              <w:t>91%</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22</w:t>
            </w:r>
          </w:p>
        </w:tc>
        <w:tc>
          <w:tcPr>
            <w:tcW w:w="1060" w:type="dxa"/>
            <w:hideMark/>
          </w:tcPr>
          <w:p w:rsidR="004F453F" w:rsidRPr="00F90D20" w:rsidRDefault="004F453F" w:rsidP="002F27A9">
            <w:pPr>
              <w:pStyle w:val="Tablerow"/>
            </w:pPr>
            <w:r w:rsidRPr="00F90D20">
              <w:t>19</w:t>
            </w:r>
          </w:p>
        </w:tc>
        <w:tc>
          <w:tcPr>
            <w:tcW w:w="1060" w:type="dxa"/>
            <w:hideMark/>
          </w:tcPr>
          <w:p w:rsidR="004F453F" w:rsidRPr="00F90D20" w:rsidRDefault="004F453F" w:rsidP="002F27A9">
            <w:pPr>
              <w:pStyle w:val="Tablerow"/>
            </w:pPr>
            <w:r w:rsidRPr="00F90D20">
              <w:t>143</w:t>
            </w:r>
          </w:p>
        </w:tc>
        <w:tc>
          <w:tcPr>
            <w:tcW w:w="1061" w:type="dxa"/>
            <w:hideMark/>
          </w:tcPr>
          <w:p w:rsidR="004F453F" w:rsidRPr="00F90D20" w:rsidRDefault="004F453F" w:rsidP="002F27A9">
            <w:pPr>
              <w:pStyle w:val="Tablerow"/>
            </w:pPr>
            <w:r w:rsidRPr="00F90D20">
              <w:t>182</w:t>
            </w:r>
          </w:p>
        </w:tc>
        <w:tc>
          <w:tcPr>
            <w:tcW w:w="1060" w:type="dxa"/>
            <w:hideMark/>
          </w:tcPr>
          <w:p w:rsidR="004F453F" w:rsidRPr="00F90D20" w:rsidRDefault="004F453F" w:rsidP="002F27A9">
            <w:pPr>
              <w:pStyle w:val="Tablerow"/>
            </w:pPr>
            <w:r w:rsidRPr="00F90D20">
              <w:t>1,356</w:t>
            </w:r>
          </w:p>
        </w:tc>
        <w:tc>
          <w:tcPr>
            <w:tcW w:w="1060" w:type="dxa"/>
            <w:hideMark/>
          </w:tcPr>
          <w:p w:rsidR="004F453F" w:rsidRPr="00F90D20" w:rsidRDefault="004F453F" w:rsidP="002F27A9">
            <w:pPr>
              <w:pStyle w:val="Tablerow"/>
            </w:pPr>
            <w:r w:rsidRPr="00F90D20">
              <w:t>54%</w:t>
            </w:r>
          </w:p>
        </w:tc>
        <w:tc>
          <w:tcPr>
            <w:tcW w:w="1061" w:type="dxa"/>
            <w:hideMark/>
          </w:tcPr>
          <w:p w:rsidR="004F453F" w:rsidRPr="00F90D20" w:rsidRDefault="004F453F" w:rsidP="002F27A9">
            <w:pPr>
              <w:pStyle w:val="Tablerow"/>
            </w:pPr>
            <w:r w:rsidRPr="00F90D20">
              <w:t>12</w:t>
            </w:r>
          </w:p>
        </w:tc>
        <w:tc>
          <w:tcPr>
            <w:tcW w:w="1060" w:type="dxa"/>
            <w:hideMark/>
          </w:tcPr>
          <w:p w:rsidR="004F453F" w:rsidRPr="00F90D20" w:rsidRDefault="004F453F" w:rsidP="002F27A9">
            <w:pPr>
              <w:pStyle w:val="Tablerow"/>
            </w:pPr>
            <w:r w:rsidRPr="00F90D20">
              <w:t>58</w:t>
            </w:r>
          </w:p>
        </w:tc>
        <w:tc>
          <w:tcPr>
            <w:tcW w:w="1060" w:type="dxa"/>
            <w:hideMark/>
          </w:tcPr>
          <w:p w:rsidR="004F453F" w:rsidRPr="00F90D20" w:rsidRDefault="004F453F" w:rsidP="002F27A9">
            <w:pPr>
              <w:pStyle w:val="Tablerow"/>
            </w:pPr>
            <w:r w:rsidRPr="00F90D20">
              <w:t>91</w:t>
            </w:r>
          </w:p>
        </w:tc>
        <w:tc>
          <w:tcPr>
            <w:tcW w:w="1061" w:type="dxa"/>
            <w:hideMark/>
          </w:tcPr>
          <w:p w:rsidR="004F453F" w:rsidRPr="00F90D20" w:rsidRDefault="004F453F" w:rsidP="002F27A9">
            <w:pPr>
              <w:pStyle w:val="Tablerow"/>
            </w:pPr>
            <w:r w:rsidRPr="00F90D20">
              <w:t>91</w:t>
            </w:r>
          </w:p>
        </w:tc>
      </w:tr>
      <w:tr w:rsidR="004F453F" w:rsidRPr="00F90D20" w:rsidTr="00B73093">
        <w:tc>
          <w:tcPr>
            <w:tcW w:w="1066" w:type="dxa"/>
            <w:hideMark/>
          </w:tcPr>
          <w:p w:rsidR="004F453F" w:rsidRPr="00F90D20" w:rsidRDefault="004F453F" w:rsidP="002F27A9">
            <w:pPr>
              <w:pStyle w:val="Tablerow"/>
            </w:pPr>
            <w:r w:rsidRPr="00F90D20">
              <w:t>18 to 19</w:t>
            </w:r>
          </w:p>
        </w:tc>
        <w:tc>
          <w:tcPr>
            <w:tcW w:w="1060" w:type="dxa"/>
            <w:hideMark/>
          </w:tcPr>
          <w:p w:rsidR="004F453F" w:rsidRPr="00F90D20" w:rsidRDefault="004F453F" w:rsidP="002F27A9">
            <w:pPr>
              <w:pStyle w:val="Tablerow"/>
            </w:pPr>
            <w:r w:rsidRPr="00F90D20">
              <w:t>78</w:t>
            </w:r>
          </w:p>
        </w:tc>
        <w:tc>
          <w:tcPr>
            <w:tcW w:w="1101" w:type="dxa"/>
            <w:hideMark/>
          </w:tcPr>
          <w:p w:rsidR="004F453F" w:rsidRPr="00F90D20" w:rsidRDefault="004F453F" w:rsidP="002F27A9">
            <w:pPr>
              <w:pStyle w:val="Tablerow"/>
            </w:pPr>
            <w:r w:rsidRPr="00F90D20">
              <w:t>88%</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15</w:t>
            </w:r>
          </w:p>
        </w:tc>
        <w:tc>
          <w:tcPr>
            <w:tcW w:w="1060" w:type="dxa"/>
            <w:hideMark/>
          </w:tcPr>
          <w:p w:rsidR="004F453F" w:rsidRPr="00F90D20" w:rsidRDefault="004F453F" w:rsidP="002F27A9">
            <w:pPr>
              <w:pStyle w:val="Tablerow"/>
            </w:pPr>
            <w:r w:rsidRPr="00F90D20">
              <w:t>13</w:t>
            </w:r>
          </w:p>
        </w:tc>
        <w:tc>
          <w:tcPr>
            <w:tcW w:w="1060" w:type="dxa"/>
            <w:hideMark/>
          </w:tcPr>
          <w:p w:rsidR="004F453F" w:rsidRPr="00F90D20" w:rsidRDefault="004F453F" w:rsidP="002F27A9">
            <w:pPr>
              <w:pStyle w:val="Tablerow"/>
            </w:pPr>
            <w:r w:rsidRPr="00F90D20">
              <w:t>91</w:t>
            </w:r>
          </w:p>
        </w:tc>
        <w:tc>
          <w:tcPr>
            <w:tcW w:w="1061" w:type="dxa"/>
            <w:hideMark/>
          </w:tcPr>
          <w:p w:rsidR="004F453F" w:rsidRPr="00F90D20" w:rsidRDefault="004F453F" w:rsidP="002F27A9">
            <w:pPr>
              <w:pStyle w:val="Tablerow"/>
            </w:pPr>
            <w:r w:rsidRPr="00F90D20">
              <w:t>173</w:t>
            </w:r>
          </w:p>
        </w:tc>
        <w:tc>
          <w:tcPr>
            <w:tcW w:w="1060" w:type="dxa"/>
            <w:hideMark/>
          </w:tcPr>
          <w:p w:rsidR="004F453F" w:rsidRPr="00F90D20" w:rsidRDefault="004F453F" w:rsidP="002F27A9">
            <w:pPr>
              <w:pStyle w:val="Tablerow"/>
            </w:pPr>
            <w:r w:rsidRPr="00F90D20">
              <w:t>1,179</w:t>
            </w:r>
          </w:p>
        </w:tc>
        <w:tc>
          <w:tcPr>
            <w:tcW w:w="1060" w:type="dxa"/>
            <w:hideMark/>
          </w:tcPr>
          <w:p w:rsidR="004F453F" w:rsidRPr="00F90D20" w:rsidRDefault="004F453F" w:rsidP="002F27A9">
            <w:pPr>
              <w:pStyle w:val="Tablerow"/>
            </w:pPr>
            <w:r w:rsidRPr="00F90D20">
              <w:t>69%</w:t>
            </w:r>
          </w:p>
        </w:tc>
        <w:tc>
          <w:tcPr>
            <w:tcW w:w="1061" w:type="dxa"/>
            <w:hideMark/>
          </w:tcPr>
          <w:p w:rsidR="004F453F" w:rsidRPr="00F90D20" w:rsidRDefault="004F453F" w:rsidP="002F27A9">
            <w:pPr>
              <w:pStyle w:val="Tablerow"/>
            </w:pPr>
            <w:r w:rsidRPr="00F90D20">
              <w:t>10</w:t>
            </w:r>
          </w:p>
        </w:tc>
        <w:tc>
          <w:tcPr>
            <w:tcW w:w="1060" w:type="dxa"/>
            <w:hideMark/>
          </w:tcPr>
          <w:p w:rsidR="004F453F" w:rsidRPr="00F90D20" w:rsidRDefault="004F453F" w:rsidP="002F27A9">
            <w:pPr>
              <w:pStyle w:val="Tablerow"/>
            </w:pPr>
            <w:r w:rsidRPr="00F90D20">
              <w:t>57</w:t>
            </w:r>
          </w:p>
        </w:tc>
        <w:tc>
          <w:tcPr>
            <w:tcW w:w="1060" w:type="dxa"/>
            <w:hideMark/>
          </w:tcPr>
          <w:p w:rsidR="004F453F" w:rsidRPr="00F90D20" w:rsidRDefault="004F453F" w:rsidP="002F27A9">
            <w:pPr>
              <w:pStyle w:val="Tablerow"/>
            </w:pPr>
            <w:r w:rsidRPr="00F90D20">
              <w:t>127</w:t>
            </w:r>
          </w:p>
        </w:tc>
        <w:tc>
          <w:tcPr>
            <w:tcW w:w="1061" w:type="dxa"/>
            <w:hideMark/>
          </w:tcPr>
          <w:p w:rsidR="004F453F" w:rsidRPr="00F90D20" w:rsidRDefault="004F453F" w:rsidP="002F27A9">
            <w:pPr>
              <w:pStyle w:val="Tablerow"/>
            </w:pPr>
            <w:r w:rsidRPr="00F90D20">
              <w:t>127</w:t>
            </w:r>
          </w:p>
        </w:tc>
      </w:tr>
      <w:tr w:rsidR="004F453F" w:rsidRPr="00F90D20" w:rsidTr="00B73093">
        <w:tc>
          <w:tcPr>
            <w:tcW w:w="1066" w:type="dxa"/>
            <w:hideMark/>
          </w:tcPr>
          <w:p w:rsidR="004F453F" w:rsidRPr="00F90D20" w:rsidRDefault="004F453F" w:rsidP="002F27A9">
            <w:pPr>
              <w:pStyle w:val="Tablerow"/>
            </w:pPr>
            <w:r w:rsidRPr="00F90D20">
              <w:t>20 to 24</w:t>
            </w:r>
          </w:p>
        </w:tc>
        <w:tc>
          <w:tcPr>
            <w:tcW w:w="1060" w:type="dxa"/>
            <w:hideMark/>
          </w:tcPr>
          <w:p w:rsidR="004F453F" w:rsidRPr="00F90D20" w:rsidRDefault="004F453F" w:rsidP="002F27A9">
            <w:pPr>
              <w:pStyle w:val="Tablerow"/>
            </w:pPr>
            <w:r w:rsidRPr="00F90D20">
              <w:t>228</w:t>
            </w:r>
          </w:p>
        </w:tc>
        <w:tc>
          <w:tcPr>
            <w:tcW w:w="1101" w:type="dxa"/>
            <w:hideMark/>
          </w:tcPr>
          <w:p w:rsidR="004F453F" w:rsidRPr="00F90D20" w:rsidRDefault="004F453F" w:rsidP="002F27A9">
            <w:pPr>
              <w:pStyle w:val="Tablerow"/>
            </w:pPr>
            <w:r w:rsidRPr="00F90D20">
              <w:t>84%</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40</w:t>
            </w:r>
          </w:p>
        </w:tc>
        <w:tc>
          <w:tcPr>
            <w:tcW w:w="1060" w:type="dxa"/>
            <w:hideMark/>
          </w:tcPr>
          <w:p w:rsidR="004F453F" w:rsidRPr="00F90D20" w:rsidRDefault="004F453F" w:rsidP="002F27A9">
            <w:pPr>
              <w:pStyle w:val="Tablerow"/>
            </w:pPr>
            <w:r w:rsidRPr="00F90D20">
              <w:t>31</w:t>
            </w:r>
          </w:p>
        </w:tc>
        <w:tc>
          <w:tcPr>
            <w:tcW w:w="1060" w:type="dxa"/>
            <w:hideMark/>
          </w:tcPr>
          <w:p w:rsidR="004F453F" w:rsidRPr="00F90D20" w:rsidRDefault="004F453F" w:rsidP="002F27A9">
            <w:pPr>
              <w:pStyle w:val="Tablerow"/>
            </w:pPr>
            <w:r w:rsidRPr="00F90D20">
              <w:t>189</w:t>
            </w:r>
          </w:p>
        </w:tc>
        <w:tc>
          <w:tcPr>
            <w:tcW w:w="1061" w:type="dxa"/>
            <w:hideMark/>
          </w:tcPr>
          <w:p w:rsidR="004F453F" w:rsidRPr="00F90D20" w:rsidRDefault="004F453F" w:rsidP="002F27A9">
            <w:pPr>
              <w:pStyle w:val="Tablerow"/>
            </w:pPr>
            <w:r w:rsidRPr="00F90D20">
              <w:t>134</w:t>
            </w:r>
          </w:p>
        </w:tc>
        <w:tc>
          <w:tcPr>
            <w:tcW w:w="1060" w:type="dxa"/>
            <w:hideMark/>
          </w:tcPr>
          <w:p w:rsidR="004F453F" w:rsidRPr="00F90D20" w:rsidRDefault="004F453F" w:rsidP="002F27A9">
            <w:pPr>
              <w:pStyle w:val="Tablerow"/>
            </w:pPr>
            <w:r w:rsidRPr="00F90D20">
              <w:t>830</w:t>
            </w:r>
          </w:p>
        </w:tc>
        <w:tc>
          <w:tcPr>
            <w:tcW w:w="1060" w:type="dxa"/>
            <w:hideMark/>
          </w:tcPr>
          <w:p w:rsidR="004F453F" w:rsidRPr="00F90D20" w:rsidRDefault="004F453F" w:rsidP="002F27A9">
            <w:pPr>
              <w:pStyle w:val="Tablerow"/>
            </w:pPr>
            <w:r w:rsidRPr="00F90D20">
              <w:t>88%</w:t>
            </w:r>
          </w:p>
        </w:tc>
        <w:tc>
          <w:tcPr>
            <w:tcW w:w="1061" w:type="dxa"/>
            <w:hideMark/>
          </w:tcPr>
          <w:p w:rsidR="004F453F" w:rsidRPr="00F90D20" w:rsidRDefault="004F453F" w:rsidP="002F27A9">
            <w:pPr>
              <w:pStyle w:val="Tablerow"/>
            </w:pPr>
            <w:r w:rsidRPr="00F90D20">
              <w:t>35</w:t>
            </w:r>
          </w:p>
        </w:tc>
        <w:tc>
          <w:tcPr>
            <w:tcW w:w="1060" w:type="dxa"/>
            <w:hideMark/>
          </w:tcPr>
          <w:p w:rsidR="004F453F" w:rsidRPr="00F90D20" w:rsidRDefault="004F453F" w:rsidP="002F27A9">
            <w:pPr>
              <w:pStyle w:val="Tablerow"/>
            </w:pPr>
            <w:r w:rsidRPr="00F90D20">
              <w:t>153</w:t>
            </w:r>
          </w:p>
        </w:tc>
        <w:tc>
          <w:tcPr>
            <w:tcW w:w="1060" w:type="dxa"/>
            <w:hideMark/>
          </w:tcPr>
          <w:p w:rsidR="004F453F" w:rsidRPr="00F90D20" w:rsidRDefault="004F453F" w:rsidP="002F27A9">
            <w:pPr>
              <w:pStyle w:val="Tablerow"/>
            </w:pPr>
            <w:r w:rsidRPr="00F90D20">
              <w:t>116</w:t>
            </w:r>
          </w:p>
        </w:tc>
        <w:tc>
          <w:tcPr>
            <w:tcW w:w="1061" w:type="dxa"/>
            <w:hideMark/>
          </w:tcPr>
          <w:p w:rsidR="004F453F" w:rsidRPr="00F90D20" w:rsidRDefault="004F453F" w:rsidP="002F27A9">
            <w:pPr>
              <w:pStyle w:val="Tablerow"/>
            </w:pPr>
            <w:r w:rsidRPr="00F90D20">
              <w:t>116</w:t>
            </w:r>
          </w:p>
        </w:tc>
      </w:tr>
      <w:tr w:rsidR="004F453F" w:rsidRPr="00F90D20" w:rsidTr="00B73093">
        <w:tc>
          <w:tcPr>
            <w:tcW w:w="1066" w:type="dxa"/>
            <w:hideMark/>
          </w:tcPr>
          <w:p w:rsidR="004F453F" w:rsidRPr="00F90D20" w:rsidRDefault="004F453F" w:rsidP="002F27A9">
            <w:pPr>
              <w:pStyle w:val="Tablerow"/>
            </w:pPr>
            <w:r w:rsidRPr="00F90D20">
              <w:t>25 to 29</w:t>
            </w:r>
          </w:p>
        </w:tc>
        <w:tc>
          <w:tcPr>
            <w:tcW w:w="1060" w:type="dxa"/>
            <w:hideMark/>
          </w:tcPr>
          <w:p w:rsidR="004F453F" w:rsidRPr="00F90D20" w:rsidRDefault="004F453F" w:rsidP="002F27A9">
            <w:pPr>
              <w:pStyle w:val="Tablerow"/>
            </w:pPr>
            <w:r w:rsidRPr="00F90D20">
              <w:t>250</w:t>
            </w:r>
          </w:p>
        </w:tc>
        <w:tc>
          <w:tcPr>
            <w:tcW w:w="1101" w:type="dxa"/>
            <w:hideMark/>
          </w:tcPr>
          <w:p w:rsidR="004F453F" w:rsidRPr="00F90D20" w:rsidRDefault="004F453F" w:rsidP="002F27A9">
            <w:pPr>
              <w:pStyle w:val="Tablerow"/>
            </w:pPr>
            <w:r w:rsidRPr="00F90D20">
              <w:t>84%</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43</w:t>
            </w:r>
          </w:p>
        </w:tc>
        <w:tc>
          <w:tcPr>
            <w:tcW w:w="1060" w:type="dxa"/>
            <w:hideMark/>
          </w:tcPr>
          <w:p w:rsidR="004F453F" w:rsidRPr="00F90D20" w:rsidRDefault="004F453F" w:rsidP="002F27A9">
            <w:pPr>
              <w:pStyle w:val="Tablerow"/>
            </w:pPr>
            <w:r w:rsidRPr="00F90D20">
              <w:t>31</w:t>
            </w:r>
          </w:p>
        </w:tc>
        <w:tc>
          <w:tcPr>
            <w:tcW w:w="1060" w:type="dxa"/>
            <w:hideMark/>
          </w:tcPr>
          <w:p w:rsidR="004F453F" w:rsidRPr="00F90D20" w:rsidRDefault="004F453F" w:rsidP="002F27A9">
            <w:pPr>
              <w:pStyle w:val="Tablerow"/>
            </w:pPr>
            <w:r w:rsidRPr="00F90D20">
              <w:t>179</w:t>
            </w:r>
          </w:p>
        </w:tc>
        <w:tc>
          <w:tcPr>
            <w:tcW w:w="1061" w:type="dxa"/>
            <w:hideMark/>
          </w:tcPr>
          <w:p w:rsidR="004F453F" w:rsidRPr="00F90D20" w:rsidRDefault="004F453F" w:rsidP="002F27A9">
            <w:pPr>
              <w:pStyle w:val="Tablerow"/>
            </w:pPr>
            <w:r w:rsidRPr="00F90D20">
              <w:t>123</w:t>
            </w:r>
          </w:p>
        </w:tc>
        <w:tc>
          <w:tcPr>
            <w:tcW w:w="1060" w:type="dxa"/>
            <w:hideMark/>
          </w:tcPr>
          <w:p w:rsidR="004F453F" w:rsidRPr="00F90D20" w:rsidRDefault="004F453F" w:rsidP="002F27A9">
            <w:pPr>
              <w:pStyle w:val="Tablerow"/>
            </w:pPr>
            <w:r w:rsidRPr="00F90D20">
              <w:t>717</w:t>
            </w:r>
          </w:p>
        </w:tc>
        <w:tc>
          <w:tcPr>
            <w:tcW w:w="1060" w:type="dxa"/>
            <w:hideMark/>
          </w:tcPr>
          <w:p w:rsidR="004F453F" w:rsidRPr="00F90D20" w:rsidRDefault="004F453F" w:rsidP="002F27A9">
            <w:pPr>
              <w:pStyle w:val="Tablerow"/>
            </w:pPr>
            <w:r w:rsidRPr="00F90D20">
              <w:t>88%</w:t>
            </w:r>
          </w:p>
        </w:tc>
        <w:tc>
          <w:tcPr>
            <w:tcW w:w="1061" w:type="dxa"/>
            <w:hideMark/>
          </w:tcPr>
          <w:p w:rsidR="004F453F" w:rsidRPr="00F90D20" w:rsidRDefault="004F453F" w:rsidP="002F27A9">
            <w:pPr>
              <w:pStyle w:val="Tablerow"/>
            </w:pPr>
            <w:r w:rsidRPr="00F90D20">
              <w:t>38</w:t>
            </w:r>
          </w:p>
        </w:tc>
        <w:tc>
          <w:tcPr>
            <w:tcW w:w="1060" w:type="dxa"/>
            <w:hideMark/>
          </w:tcPr>
          <w:p w:rsidR="004F453F" w:rsidRPr="00F90D20" w:rsidRDefault="004F453F" w:rsidP="002F27A9">
            <w:pPr>
              <w:pStyle w:val="Tablerow"/>
            </w:pPr>
            <w:r w:rsidRPr="00F90D20">
              <w:t>142</w:t>
            </w:r>
          </w:p>
        </w:tc>
        <w:tc>
          <w:tcPr>
            <w:tcW w:w="1060" w:type="dxa"/>
            <w:hideMark/>
          </w:tcPr>
          <w:p w:rsidR="004F453F" w:rsidRPr="00F90D20" w:rsidRDefault="004F453F" w:rsidP="002F27A9">
            <w:pPr>
              <w:pStyle w:val="Tablerow"/>
            </w:pPr>
            <w:r w:rsidRPr="00F90D20">
              <w:t>106</w:t>
            </w:r>
          </w:p>
        </w:tc>
        <w:tc>
          <w:tcPr>
            <w:tcW w:w="1061" w:type="dxa"/>
            <w:hideMark/>
          </w:tcPr>
          <w:p w:rsidR="004F453F" w:rsidRPr="00F90D20" w:rsidRDefault="004F453F" w:rsidP="002F27A9">
            <w:pPr>
              <w:pStyle w:val="Tablerow"/>
            </w:pPr>
            <w:r w:rsidRPr="00F90D20">
              <w:t>106</w:t>
            </w:r>
          </w:p>
        </w:tc>
      </w:tr>
      <w:tr w:rsidR="004F453F" w:rsidRPr="00F90D20" w:rsidTr="00B73093">
        <w:tc>
          <w:tcPr>
            <w:tcW w:w="1066" w:type="dxa"/>
            <w:hideMark/>
          </w:tcPr>
          <w:p w:rsidR="004F453F" w:rsidRPr="00F90D20" w:rsidRDefault="004F453F" w:rsidP="002F27A9">
            <w:pPr>
              <w:pStyle w:val="Tablerow"/>
            </w:pPr>
            <w:r w:rsidRPr="00F90D20">
              <w:t>30 to 34</w:t>
            </w:r>
          </w:p>
        </w:tc>
        <w:tc>
          <w:tcPr>
            <w:tcW w:w="1060" w:type="dxa"/>
            <w:hideMark/>
          </w:tcPr>
          <w:p w:rsidR="004F453F" w:rsidRPr="00F90D20" w:rsidRDefault="004F453F" w:rsidP="002F27A9">
            <w:pPr>
              <w:pStyle w:val="Tablerow"/>
            </w:pPr>
            <w:r w:rsidRPr="00F90D20">
              <w:t>249</w:t>
            </w:r>
          </w:p>
        </w:tc>
        <w:tc>
          <w:tcPr>
            <w:tcW w:w="1101" w:type="dxa"/>
            <w:hideMark/>
          </w:tcPr>
          <w:p w:rsidR="004F453F" w:rsidRPr="00F90D20" w:rsidRDefault="004F453F" w:rsidP="002F27A9">
            <w:pPr>
              <w:pStyle w:val="Tablerow"/>
            </w:pPr>
            <w:r w:rsidRPr="00F90D20">
              <w:t>83%</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47</w:t>
            </w:r>
          </w:p>
        </w:tc>
        <w:tc>
          <w:tcPr>
            <w:tcW w:w="1060" w:type="dxa"/>
            <w:hideMark/>
          </w:tcPr>
          <w:p w:rsidR="004F453F" w:rsidRPr="00F90D20" w:rsidRDefault="004F453F" w:rsidP="002F27A9">
            <w:pPr>
              <w:pStyle w:val="Tablerow"/>
            </w:pPr>
            <w:r w:rsidRPr="00F90D20">
              <w:t>37</w:t>
            </w:r>
          </w:p>
        </w:tc>
        <w:tc>
          <w:tcPr>
            <w:tcW w:w="1060" w:type="dxa"/>
            <w:hideMark/>
          </w:tcPr>
          <w:p w:rsidR="004F453F" w:rsidRPr="00F90D20" w:rsidRDefault="004F453F" w:rsidP="002F27A9">
            <w:pPr>
              <w:pStyle w:val="Tablerow"/>
            </w:pPr>
            <w:r w:rsidRPr="00F90D20">
              <w:t>205</w:t>
            </w:r>
          </w:p>
        </w:tc>
        <w:tc>
          <w:tcPr>
            <w:tcW w:w="1061" w:type="dxa"/>
            <w:hideMark/>
          </w:tcPr>
          <w:p w:rsidR="004F453F" w:rsidRPr="00F90D20" w:rsidRDefault="004F453F" w:rsidP="002F27A9">
            <w:pPr>
              <w:pStyle w:val="Tablerow"/>
            </w:pPr>
            <w:r w:rsidRPr="00F90D20">
              <w:t>150</w:t>
            </w:r>
          </w:p>
        </w:tc>
        <w:tc>
          <w:tcPr>
            <w:tcW w:w="1060" w:type="dxa"/>
            <w:hideMark/>
          </w:tcPr>
          <w:p w:rsidR="004F453F" w:rsidRPr="00F90D20" w:rsidRDefault="004F453F" w:rsidP="002F27A9">
            <w:pPr>
              <w:pStyle w:val="Tablerow"/>
            </w:pPr>
            <w:r w:rsidRPr="00F90D20">
              <w:t>824</w:t>
            </w:r>
          </w:p>
        </w:tc>
        <w:tc>
          <w:tcPr>
            <w:tcW w:w="1060" w:type="dxa"/>
            <w:hideMark/>
          </w:tcPr>
          <w:p w:rsidR="004F453F" w:rsidRPr="00F90D20" w:rsidRDefault="004F453F" w:rsidP="002F27A9">
            <w:pPr>
              <w:pStyle w:val="Tablerow"/>
            </w:pPr>
            <w:r w:rsidRPr="00F90D20">
              <w:t>88%</w:t>
            </w:r>
          </w:p>
        </w:tc>
        <w:tc>
          <w:tcPr>
            <w:tcW w:w="1061" w:type="dxa"/>
            <w:hideMark/>
          </w:tcPr>
          <w:p w:rsidR="004F453F" w:rsidRPr="00F90D20" w:rsidRDefault="004F453F" w:rsidP="002F27A9">
            <w:pPr>
              <w:pStyle w:val="Tablerow"/>
            </w:pPr>
            <w:r w:rsidRPr="00F90D20">
              <w:t>41</w:t>
            </w:r>
          </w:p>
        </w:tc>
        <w:tc>
          <w:tcPr>
            <w:tcW w:w="1060" w:type="dxa"/>
            <w:hideMark/>
          </w:tcPr>
          <w:p w:rsidR="004F453F" w:rsidRPr="00F90D20" w:rsidRDefault="004F453F" w:rsidP="002F27A9">
            <w:pPr>
              <w:pStyle w:val="Tablerow"/>
            </w:pPr>
            <w:r w:rsidRPr="00F90D20">
              <w:t>163</w:t>
            </w:r>
          </w:p>
        </w:tc>
        <w:tc>
          <w:tcPr>
            <w:tcW w:w="1060" w:type="dxa"/>
            <w:hideMark/>
          </w:tcPr>
          <w:p w:rsidR="004F453F" w:rsidRPr="00F90D20" w:rsidRDefault="004F453F" w:rsidP="002F27A9">
            <w:pPr>
              <w:pStyle w:val="Tablerow"/>
            </w:pPr>
            <w:r w:rsidRPr="00F90D20">
              <w:t>131</w:t>
            </w:r>
          </w:p>
        </w:tc>
        <w:tc>
          <w:tcPr>
            <w:tcW w:w="1061" w:type="dxa"/>
            <w:hideMark/>
          </w:tcPr>
          <w:p w:rsidR="004F453F" w:rsidRPr="00F90D20" w:rsidRDefault="004F453F" w:rsidP="002F27A9">
            <w:pPr>
              <w:pStyle w:val="Tablerow"/>
            </w:pPr>
            <w:r w:rsidRPr="00F90D20">
              <w:t>131</w:t>
            </w:r>
          </w:p>
        </w:tc>
      </w:tr>
      <w:tr w:rsidR="004F453F" w:rsidRPr="00F90D20" w:rsidTr="00B73093">
        <w:tc>
          <w:tcPr>
            <w:tcW w:w="1066" w:type="dxa"/>
            <w:hideMark/>
          </w:tcPr>
          <w:p w:rsidR="004F453F" w:rsidRPr="00F90D20" w:rsidRDefault="004F453F" w:rsidP="002F27A9">
            <w:pPr>
              <w:pStyle w:val="Tablerow"/>
            </w:pPr>
            <w:r w:rsidRPr="00F90D20">
              <w:t>35 to 39</w:t>
            </w:r>
          </w:p>
        </w:tc>
        <w:tc>
          <w:tcPr>
            <w:tcW w:w="1060" w:type="dxa"/>
            <w:hideMark/>
          </w:tcPr>
          <w:p w:rsidR="004F453F" w:rsidRPr="00F90D20" w:rsidRDefault="004F453F" w:rsidP="002F27A9">
            <w:pPr>
              <w:pStyle w:val="Tablerow"/>
            </w:pPr>
            <w:r w:rsidRPr="00F90D20">
              <w:t>218</w:t>
            </w:r>
          </w:p>
        </w:tc>
        <w:tc>
          <w:tcPr>
            <w:tcW w:w="1101" w:type="dxa"/>
            <w:hideMark/>
          </w:tcPr>
          <w:p w:rsidR="004F453F" w:rsidRPr="00F90D20" w:rsidRDefault="004F453F" w:rsidP="002F27A9">
            <w:pPr>
              <w:pStyle w:val="Tablerow"/>
            </w:pPr>
            <w:r w:rsidRPr="00F90D20">
              <w:t>84%</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39</w:t>
            </w:r>
          </w:p>
        </w:tc>
        <w:tc>
          <w:tcPr>
            <w:tcW w:w="1060" w:type="dxa"/>
            <w:hideMark/>
          </w:tcPr>
          <w:p w:rsidR="004F453F" w:rsidRPr="00F90D20" w:rsidRDefault="004F453F" w:rsidP="002F27A9">
            <w:pPr>
              <w:pStyle w:val="Tablerow"/>
            </w:pPr>
            <w:r w:rsidRPr="00F90D20">
              <w:t>31</w:t>
            </w:r>
          </w:p>
        </w:tc>
        <w:tc>
          <w:tcPr>
            <w:tcW w:w="1060" w:type="dxa"/>
            <w:hideMark/>
          </w:tcPr>
          <w:p w:rsidR="004F453F" w:rsidRPr="00F90D20" w:rsidRDefault="004F453F" w:rsidP="002F27A9">
            <w:pPr>
              <w:pStyle w:val="Tablerow"/>
            </w:pPr>
            <w:r w:rsidRPr="00F90D20">
              <w:t>167</w:t>
            </w:r>
          </w:p>
        </w:tc>
        <w:tc>
          <w:tcPr>
            <w:tcW w:w="1061" w:type="dxa"/>
            <w:hideMark/>
          </w:tcPr>
          <w:p w:rsidR="004F453F" w:rsidRPr="00F90D20" w:rsidRDefault="004F453F" w:rsidP="002F27A9">
            <w:pPr>
              <w:pStyle w:val="Tablerow"/>
            </w:pPr>
            <w:r w:rsidRPr="00F90D20">
              <w:t>143</w:t>
            </w:r>
          </w:p>
        </w:tc>
        <w:tc>
          <w:tcPr>
            <w:tcW w:w="1060" w:type="dxa"/>
            <w:hideMark/>
          </w:tcPr>
          <w:p w:rsidR="004F453F" w:rsidRPr="00F90D20" w:rsidRDefault="004F453F" w:rsidP="002F27A9">
            <w:pPr>
              <w:pStyle w:val="Tablerow"/>
            </w:pPr>
            <w:r w:rsidRPr="00F90D20">
              <w:t>763</w:t>
            </w:r>
          </w:p>
        </w:tc>
        <w:tc>
          <w:tcPr>
            <w:tcW w:w="1060" w:type="dxa"/>
            <w:hideMark/>
          </w:tcPr>
          <w:p w:rsidR="004F453F" w:rsidRPr="00F90D20" w:rsidRDefault="004F453F" w:rsidP="002F27A9">
            <w:pPr>
              <w:pStyle w:val="Tablerow"/>
            </w:pPr>
            <w:r w:rsidRPr="00F90D20">
              <w:t>90%</w:t>
            </w:r>
          </w:p>
        </w:tc>
        <w:tc>
          <w:tcPr>
            <w:tcW w:w="1061" w:type="dxa"/>
            <w:hideMark/>
          </w:tcPr>
          <w:p w:rsidR="004F453F" w:rsidRPr="00F90D20" w:rsidRDefault="004F453F" w:rsidP="002F27A9">
            <w:pPr>
              <w:pStyle w:val="Tablerow"/>
            </w:pPr>
            <w:r w:rsidRPr="00F90D20">
              <w:t>35</w:t>
            </w:r>
          </w:p>
        </w:tc>
        <w:tc>
          <w:tcPr>
            <w:tcW w:w="1060" w:type="dxa"/>
            <w:hideMark/>
          </w:tcPr>
          <w:p w:rsidR="004F453F" w:rsidRPr="00F90D20" w:rsidRDefault="004F453F" w:rsidP="002F27A9">
            <w:pPr>
              <w:pStyle w:val="Tablerow"/>
            </w:pPr>
            <w:r w:rsidRPr="00F90D20">
              <w:t>132</w:t>
            </w:r>
          </w:p>
        </w:tc>
        <w:tc>
          <w:tcPr>
            <w:tcW w:w="1060" w:type="dxa"/>
            <w:hideMark/>
          </w:tcPr>
          <w:p w:rsidR="004F453F" w:rsidRPr="00F90D20" w:rsidRDefault="004F453F" w:rsidP="002F27A9">
            <w:pPr>
              <w:pStyle w:val="Tablerow"/>
            </w:pPr>
            <w:r w:rsidRPr="00F90D20">
              <w:t>124</w:t>
            </w:r>
          </w:p>
        </w:tc>
        <w:tc>
          <w:tcPr>
            <w:tcW w:w="1061" w:type="dxa"/>
            <w:hideMark/>
          </w:tcPr>
          <w:p w:rsidR="004F453F" w:rsidRPr="00F90D20" w:rsidRDefault="004F453F" w:rsidP="002F27A9">
            <w:pPr>
              <w:pStyle w:val="Tablerow"/>
            </w:pPr>
            <w:r w:rsidRPr="00F90D20">
              <w:t>124</w:t>
            </w:r>
          </w:p>
        </w:tc>
      </w:tr>
      <w:tr w:rsidR="004F453F" w:rsidRPr="00F90D20" w:rsidTr="00B73093">
        <w:tc>
          <w:tcPr>
            <w:tcW w:w="1066" w:type="dxa"/>
            <w:hideMark/>
          </w:tcPr>
          <w:p w:rsidR="004F453F" w:rsidRPr="00F90D20" w:rsidRDefault="004F453F" w:rsidP="002F27A9">
            <w:pPr>
              <w:pStyle w:val="Tablerow"/>
            </w:pPr>
            <w:r w:rsidRPr="00F90D20">
              <w:t>40 to 44</w:t>
            </w:r>
          </w:p>
        </w:tc>
        <w:tc>
          <w:tcPr>
            <w:tcW w:w="1060" w:type="dxa"/>
            <w:hideMark/>
          </w:tcPr>
          <w:p w:rsidR="004F453F" w:rsidRPr="00F90D20" w:rsidRDefault="004F453F" w:rsidP="002F27A9">
            <w:pPr>
              <w:pStyle w:val="Tablerow"/>
            </w:pPr>
            <w:r w:rsidRPr="00F90D20">
              <w:t>208</w:t>
            </w:r>
          </w:p>
        </w:tc>
        <w:tc>
          <w:tcPr>
            <w:tcW w:w="1101" w:type="dxa"/>
            <w:hideMark/>
          </w:tcPr>
          <w:p w:rsidR="004F453F" w:rsidRPr="00F90D20" w:rsidRDefault="004F453F" w:rsidP="002F27A9">
            <w:pPr>
              <w:pStyle w:val="Tablerow"/>
            </w:pPr>
            <w:r w:rsidRPr="00F90D20">
              <w:t>84%</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37</w:t>
            </w:r>
          </w:p>
        </w:tc>
        <w:tc>
          <w:tcPr>
            <w:tcW w:w="1060" w:type="dxa"/>
            <w:hideMark/>
          </w:tcPr>
          <w:p w:rsidR="004F453F" w:rsidRPr="00F90D20" w:rsidRDefault="004F453F" w:rsidP="002F27A9">
            <w:pPr>
              <w:pStyle w:val="Tablerow"/>
            </w:pPr>
            <w:r w:rsidRPr="00F90D20">
              <w:t>25</w:t>
            </w:r>
          </w:p>
        </w:tc>
        <w:tc>
          <w:tcPr>
            <w:tcW w:w="1060" w:type="dxa"/>
            <w:hideMark/>
          </w:tcPr>
          <w:p w:rsidR="004F453F" w:rsidRPr="00F90D20" w:rsidRDefault="004F453F" w:rsidP="002F27A9">
            <w:pPr>
              <w:pStyle w:val="Tablerow"/>
            </w:pPr>
            <w:r w:rsidRPr="00F90D20">
              <w:t>141</w:t>
            </w:r>
          </w:p>
        </w:tc>
        <w:tc>
          <w:tcPr>
            <w:tcW w:w="1061" w:type="dxa"/>
            <w:hideMark/>
          </w:tcPr>
          <w:p w:rsidR="004F453F" w:rsidRPr="00F90D20" w:rsidRDefault="004F453F" w:rsidP="002F27A9">
            <w:pPr>
              <w:pStyle w:val="Tablerow"/>
            </w:pPr>
            <w:r w:rsidRPr="00F90D20">
              <w:t>121</w:t>
            </w:r>
          </w:p>
        </w:tc>
        <w:tc>
          <w:tcPr>
            <w:tcW w:w="1060" w:type="dxa"/>
            <w:hideMark/>
          </w:tcPr>
          <w:p w:rsidR="004F453F" w:rsidRPr="00F90D20" w:rsidRDefault="004F453F" w:rsidP="002F27A9">
            <w:pPr>
              <w:pStyle w:val="Tablerow"/>
            </w:pPr>
            <w:r w:rsidRPr="00F90D20">
              <w:t>680</w:t>
            </w:r>
          </w:p>
        </w:tc>
        <w:tc>
          <w:tcPr>
            <w:tcW w:w="1060" w:type="dxa"/>
            <w:hideMark/>
          </w:tcPr>
          <w:p w:rsidR="004F453F" w:rsidRPr="00F90D20" w:rsidRDefault="004F453F" w:rsidP="002F27A9">
            <w:pPr>
              <w:pStyle w:val="Tablerow"/>
            </w:pPr>
            <w:r w:rsidRPr="00F90D20">
              <w:t>90%</w:t>
            </w:r>
          </w:p>
        </w:tc>
        <w:tc>
          <w:tcPr>
            <w:tcW w:w="1061" w:type="dxa"/>
            <w:hideMark/>
          </w:tcPr>
          <w:p w:rsidR="004F453F" w:rsidRPr="00F90D20" w:rsidRDefault="004F453F" w:rsidP="002F27A9">
            <w:pPr>
              <w:pStyle w:val="Tablerow"/>
            </w:pPr>
            <w:r w:rsidRPr="00F90D20">
              <w:t>33</w:t>
            </w:r>
          </w:p>
        </w:tc>
        <w:tc>
          <w:tcPr>
            <w:tcW w:w="1060" w:type="dxa"/>
            <w:hideMark/>
          </w:tcPr>
          <w:p w:rsidR="004F453F" w:rsidRPr="00F90D20" w:rsidRDefault="004F453F" w:rsidP="002F27A9">
            <w:pPr>
              <w:pStyle w:val="Tablerow"/>
            </w:pPr>
            <w:r w:rsidRPr="00F90D20">
              <w:t>109</w:t>
            </w:r>
          </w:p>
        </w:tc>
        <w:tc>
          <w:tcPr>
            <w:tcW w:w="1060" w:type="dxa"/>
            <w:hideMark/>
          </w:tcPr>
          <w:p w:rsidR="004F453F" w:rsidRPr="00F90D20" w:rsidRDefault="004F453F" w:rsidP="002F27A9">
            <w:pPr>
              <w:pStyle w:val="Tablerow"/>
            </w:pPr>
            <w:r w:rsidRPr="00F90D20">
              <w:t>103</w:t>
            </w:r>
          </w:p>
        </w:tc>
        <w:tc>
          <w:tcPr>
            <w:tcW w:w="1061" w:type="dxa"/>
            <w:hideMark/>
          </w:tcPr>
          <w:p w:rsidR="004F453F" w:rsidRPr="00F90D20" w:rsidRDefault="004F453F" w:rsidP="002F27A9">
            <w:pPr>
              <w:pStyle w:val="Tablerow"/>
            </w:pPr>
            <w:r w:rsidRPr="00F90D20">
              <w:t>103</w:t>
            </w:r>
          </w:p>
        </w:tc>
      </w:tr>
      <w:tr w:rsidR="004F453F" w:rsidRPr="00F90D20" w:rsidTr="00B73093">
        <w:tc>
          <w:tcPr>
            <w:tcW w:w="1066" w:type="dxa"/>
            <w:hideMark/>
          </w:tcPr>
          <w:p w:rsidR="004F453F" w:rsidRPr="00F90D20" w:rsidRDefault="004F453F" w:rsidP="002F27A9">
            <w:pPr>
              <w:pStyle w:val="Tablerow"/>
            </w:pPr>
            <w:r w:rsidRPr="00F90D20">
              <w:t>45 to 49</w:t>
            </w:r>
          </w:p>
        </w:tc>
        <w:tc>
          <w:tcPr>
            <w:tcW w:w="1060" w:type="dxa"/>
            <w:hideMark/>
          </w:tcPr>
          <w:p w:rsidR="004F453F" w:rsidRPr="00F90D20" w:rsidRDefault="004F453F" w:rsidP="002F27A9">
            <w:pPr>
              <w:pStyle w:val="Tablerow"/>
            </w:pPr>
            <w:r w:rsidRPr="00F90D20">
              <w:t>217</w:t>
            </w:r>
          </w:p>
        </w:tc>
        <w:tc>
          <w:tcPr>
            <w:tcW w:w="1101" w:type="dxa"/>
            <w:hideMark/>
          </w:tcPr>
          <w:p w:rsidR="004F453F" w:rsidRPr="00F90D20" w:rsidRDefault="004F453F" w:rsidP="002F27A9">
            <w:pPr>
              <w:pStyle w:val="Tablerow"/>
            </w:pPr>
            <w:r w:rsidRPr="00F90D20">
              <w:t>83%</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41</w:t>
            </w:r>
          </w:p>
        </w:tc>
        <w:tc>
          <w:tcPr>
            <w:tcW w:w="1060" w:type="dxa"/>
            <w:hideMark/>
          </w:tcPr>
          <w:p w:rsidR="004F453F" w:rsidRPr="00F90D20" w:rsidRDefault="004F453F" w:rsidP="002F27A9">
            <w:pPr>
              <w:pStyle w:val="Tablerow"/>
            </w:pPr>
            <w:r w:rsidRPr="00F90D20">
              <w:t>32</w:t>
            </w:r>
          </w:p>
        </w:tc>
        <w:tc>
          <w:tcPr>
            <w:tcW w:w="1060" w:type="dxa"/>
            <w:hideMark/>
          </w:tcPr>
          <w:p w:rsidR="004F453F" w:rsidRPr="00F90D20" w:rsidRDefault="004F453F" w:rsidP="002F27A9">
            <w:pPr>
              <w:pStyle w:val="Tablerow"/>
            </w:pPr>
            <w:r w:rsidRPr="00F90D20">
              <w:t>167</w:t>
            </w:r>
          </w:p>
        </w:tc>
        <w:tc>
          <w:tcPr>
            <w:tcW w:w="1061" w:type="dxa"/>
            <w:hideMark/>
          </w:tcPr>
          <w:p w:rsidR="004F453F" w:rsidRPr="00F90D20" w:rsidRDefault="004F453F" w:rsidP="002F27A9">
            <w:pPr>
              <w:pStyle w:val="Tablerow"/>
            </w:pPr>
            <w:r w:rsidRPr="00F90D20">
              <w:t>146</w:t>
            </w:r>
          </w:p>
        </w:tc>
        <w:tc>
          <w:tcPr>
            <w:tcW w:w="1060" w:type="dxa"/>
            <w:hideMark/>
          </w:tcPr>
          <w:p w:rsidR="004F453F" w:rsidRPr="00F90D20" w:rsidRDefault="004F453F" w:rsidP="002F27A9">
            <w:pPr>
              <w:pStyle w:val="Tablerow"/>
            </w:pPr>
            <w:r w:rsidRPr="00F90D20">
              <w:t>771</w:t>
            </w:r>
          </w:p>
        </w:tc>
        <w:tc>
          <w:tcPr>
            <w:tcW w:w="1060" w:type="dxa"/>
            <w:hideMark/>
          </w:tcPr>
          <w:p w:rsidR="004F453F" w:rsidRPr="00F90D20" w:rsidRDefault="004F453F" w:rsidP="002F27A9">
            <w:pPr>
              <w:pStyle w:val="Tablerow"/>
            </w:pPr>
            <w:r w:rsidRPr="00F90D20">
              <w:t>92%</w:t>
            </w:r>
          </w:p>
        </w:tc>
        <w:tc>
          <w:tcPr>
            <w:tcW w:w="1061" w:type="dxa"/>
            <w:hideMark/>
          </w:tcPr>
          <w:p w:rsidR="004F453F" w:rsidRPr="00F90D20" w:rsidRDefault="004F453F" w:rsidP="002F27A9">
            <w:pPr>
              <w:pStyle w:val="Tablerow"/>
            </w:pPr>
            <w:r w:rsidRPr="00F90D20">
              <w:t>38</w:t>
            </w:r>
          </w:p>
        </w:tc>
        <w:tc>
          <w:tcPr>
            <w:tcW w:w="1060" w:type="dxa"/>
            <w:hideMark/>
          </w:tcPr>
          <w:p w:rsidR="004F453F" w:rsidRPr="00F90D20" w:rsidRDefault="004F453F" w:rsidP="002F27A9">
            <w:pPr>
              <w:pStyle w:val="Tablerow"/>
            </w:pPr>
            <w:r w:rsidRPr="00F90D20">
              <w:t>123</w:t>
            </w:r>
          </w:p>
        </w:tc>
        <w:tc>
          <w:tcPr>
            <w:tcW w:w="1060" w:type="dxa"/>
            <w:hideMark/>
          </w:tcPr>
          <w:p w:rsidR="004F453F" w:rsidRPr="00F90D20" w:rsidRDefault="004F453F" w:rsidP="002F27A9">
            <w:pPr>
              <w:pStyle w:val="Tablerow"/>
            </w:pPr>
            <w:r w:rsidRPr="00F90D20">
              <w:t>121</w:t>
            </w:r>
          </w:p>
        </w:tc>
        <w:tc>
          <w:tcPr>
            <w:tcW w:w="1061" w:type="dxa"/>
            <w:hideMark/>
          </w:tcPr>
          <w:p w:rsidR="004F453F" w:rsidRPr="00F90D20" w:rsidRDefault="004F453F" w:rsidP="002F27A9">
            <w:pPr>
              <w:pStyle w:val="Tablerow"/>
            </w:pPr>
            <w:r w:rsidRPr="00F90D20">
              <w:t>121</w:t>
            </w:r>
          </w:p>
        </w:tc>
      </w:tr>
      <w:tr w:rsidR="004F453F" w:rsidRPr="00F90D20" w:rsidTr="00B73093">
        <w:tc>
          <w:tcPr>
            <w:tcW w:w="1066" w:type="dxa"/>
            <w:hideMark/>
          </w:tcPr>
          <w:p w:rsidR="004F453F" w:rsidRPr="00F90D20" w:rsidRDefault="004F453F" w:rsidP="002F27A9">
            <w:pPr>
              <w:pStyle w:val="Tablerow"/>
            </w:pPr>
            <w:r w:rsidRPr="00F90D20">
              <w:t>50 to 54</w:t>
            </w:r>
          </w:p>
        </w:tc>
        <w:tc>
          <w:tcPr>
            <w:tcW w:w="1060" w:type="dxa"/>
            <w:hideMark/>
          </w:tcPr>
          <w:p w:rsidR="004F453F" w:rsidRPr="00F90D20" w:rsidRDefault="004F453F" w:rsidP="002F27A9">
            <w:pPr>
              <w:pStyle w:val="Tablerow"/>
            </w:pPr>
            <w:r w:rsidRPr="00F90D20">
              <w:t>198</w:t>
            </w:r>
          </w:p>
        </w:tc>
        <w:tc>
          <w:tcPr>
            <w:tcW w:w="1101" w:type="dxa"/>
            <w:hideMark/>
          </w:tcPr>
          <w:p w:rsidR="004F453F" w:rsidRPr="00F90D20" w:rsidRDefault="004F453F" w:rsidP="002F27A9">
            <w:pPr>
              <w:pStyle w:val="Tablerow"/>
            </w:pPr>
            <w:r w:rsidRPr="00F90D20">
              <w:t>82%</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39</w:t>
            </w:r>
          </w:p>
        </w:tc>
        <w:tc>
          <w:tcPr>
            <w:tcW w:w="1060" w:type="dxa"/>
            <w:hideMark/>
          </w:tcPr>
          <w:p w:rsidR="004F453F" w:rsidRPr="00F90D20" w:rsidRDefault="004F453F" w:rsidP="002F27A9">
            <w:pPr>
              <w:pStyle w:val="Tablerow"/>
            </w:pPr>
            <w:r w:rsidRPr="00F90D20">
              <w:t>30</w:t>
            </w:r>
          </w:p>
        </w:tc>
        <w:tc>
          <w:tcPr>
            <w:tcW w:w="1060" w:type="dxa"/>
            <w:hideMark/>
          </w:tcPr>
          <w:p w:rsidR="004F453F" w:rsidRPr="00F90D20" w:rsidRDefault="004F453F" w:rsidP="002F27A9">
            <w:pPr>
              <w:pStyle w:val="Tablerow"/>
            </w:pPr>
            <w:r w:rsidRPr="00F90D20">
              <w:t>155</w:t>
            </w:r>
          </w:p>
        </w:tc>
        <w:tc>
          <w:tcPr>
            <w:tcW w:w="1061" w:type="dxa"/>
            <w:hideMark/>
          </w:tcPr>
          <w:p w:rsidR="004F453F" w:rsidRPr="00F90D20" w:rsidRDefault="004F453F" w:rsidP="002F27A9">
            <w:pPr>
              <w:pStyle w:val="Tablerow"/>
            </w:pPr>
            <w:r w:rsidRPr="00F90D20">
              <w:t>153</w:t>
            </w:r>
          </w:p>
        </w:tc>
        <w:tc>
          <w:tcPr>
            <w:tcW w:w="1060" w:type="dxa"/>
            <w:hideMark/>
          </w:tcPr>
          <w:p w:rsidR="004F453F" w:rsidRPr="00F90D20" w:rsidRDefault="004F453F" w:rsidP="002F27A9">
            <w:pPr>
              <w:pStyle w:val="Tablerow"/>
            </w:pPr>
            <w:r w:rsidRPr="00F90D20">
              <w:t>782</w:t>
            </w:r>
          </w:p>
        </w:tc>
        <w:tc>
          <w:tcPr>
            <w:tcW w:w="1060" w:type="dxa"/>
            <w:hideMark/>
          </w:tcPr>
          <w:p w:rsidR="004F453F" w:rsidRPr="00F90D20" w:rsidRDefault="004F453F" w:rsidP="002F27A9">
            <w:pPr>
              <w:pStyle w:val="Tablerow"/>
            </w:pPr>
            <w:r w:rsidRPr="00F90D20">
              <w:t>91%</w:t>
            </w:r>
          </w:p>
        </w:tc>
        <w:tc>
          <w:tcPr>
            <w:tcW w:w="1061" w:type="dxa"/>
            <w:hideMark/>
          </w:tcPr>
          <w:p w:rsidR="004F453F" w:rsidRPr="00F90D20" w:rsidRDefault="004F453F" w:rsidP="002F27A9">
            <w:pPr>
              <w:pStyle w:val="Tablerow"/>
            </w:pPr>
            <w:r w:rsidRPr="00F90D20">
              <w:t>35</w:t>
            </w:r>
          </w:p>
        </w:tc>
        <w:tc>
          <w:tcPr>
            <w:tcW w:w="1060" w:type="dxa"/>
            <w:hideMark/>
          </w:tcPr>
          <w:p w:rsidR="004F453F" w:rsidRPr="00F90D20" w:rsidRDefault="004F453F" w:rsidP="002F27A9">
            <w:pPr>
              <w:pStyle w:val="Tablerow"/>
            </w:pPr>
            <w:r w:rsidRPr="00F90D20">
              <w:t>121</w:t>
            </w:r>
          </w:p>
        </w:tc>
        <w:tc>
          <w:tcPr>
            <w:tcW w:w="1060" w:type="dxa"/>
            <w:hideMark/>
          </w:tcPr>
          <w:p w:rsidR="004F453F" w:rsidRPr="00F90D20" w:rsidRDefault="004F453F" w:rsidP="002F27A9">
            <w:pPr>
              <w:pStyle w:val="Tablerow"/>
            </w:pPr>
            <w:r w:rsidRPr="00F90D20">
              <w:t>130</w:t>
            </w:r>
          </w:p>
        </w:tc>
        <w:tc>
          <w:tcPr>
            <w:tcW w:w="1061" w:type="dxa"/>
            <w:hideMark/>
          </w:tcPr>
          <w:p w:rsidR="004F453F" w:rsidRPr="00F90D20" w:rsidRDefault="004F453F" w:rsidP="002F27A9">
            <w:pPr>
              <w:pStyle w:val="Tablerow"/>
            </w:pPr>
            <w:r w:rsidRPr="00F90D20">
              <w:t>130</w:t>
            </w:r>
          </w:p>
        </w:tc>
      </w:tr>
      <w:tr w:rsidR="004F453F" w:rsidRPr="00F90D20" w:rsidTr="00B73093">
        <w:tc>
          <w:tcPr>
            <w:tcW w:w="1066" w:type="dxa"/>
            <w:hideMark/>
          </w:tcPr>
          <w:p w:rsidR="004F453F" w:rsidRPr="00F90D20" w:rsidRDefault="004F453F" w:rsidP="002F27A9">
            <w:pPr>
              <w:pStyle w:val="Tablerow"/>
            </w:pPr>
            <w:r w:rsidRPr="00F90D20">
              <w:t>55 to 59</w:t>
            </w:r>
          </w:p>
        </w:tc>
        <w:tc>
          <w:tcPr>
            <w:tcW w:w="1060" w:type="dxa"/>
            <w:hideMark/>
          </w:tcPr>
          <w:p w:rsidR="004F453F" w:rsidRPr="00F90D20" w:rsidRDefault="004F453F" w:rsidP="002F27A9">
            <w:pPr>
              <w:pStyle w:val="Tablerow"/>
            </w:pPr>
            <w:r w:rsidRPr="00F90D20">
              <w:t>191</w:t>
            </w:r>
          </w:p>
        </w:tc>
        <w:tc>
          <w:tcPr>
            <w:tcW w:w="1101" w:type="dxa"/>
            <w:hideMark/>
          </w:tcPr>
          <w:p w:rsidR="004F453F" w:rsidRPr="00F90D20" w:rsidRDefault="004F453F" w:rsidP="002F27A9">
            <w:pPr>
              <w:pStyle w:val="Tablerow"/>
            </w:pPr>
            <w:r w:rsidRPr="00F90D20">
              <w:t>81%</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39</w:t>
            </w:r>
          </w:p>
        </w:tc>
        <w:tc>
          <w:tcPr>
            <w:tcW w:w="1060" w:type="dxa"/>
            <w:hideMark/>
          </w:tcPr>
          <w:p w:rsidR="004F453F" w:rsidRPr="00F90D20" w:rsidRDefault="004F453F" w:rsidP="002F27A9">
            <w:pPr>
              <w:pStyle w:val="Tablerow"/>
            </w:pPr>
            <w:r w:rsidRPr="00F90D20">
              <w:t>32</w:t>
            </w:r>
          </w:p>
        </w:tc>
        <w:tc>
          <w:tcPr>
            <w:tcW w:w="1060" w:type="dxa"/>
            <w:hideMark/>
          </w:tcPr>
          <w:p w:rsidR="004F453F" w:rsidRPr="00F90D20" w:rsidRDefault="004F453F" w:rsidP="002F27A9">
            <w:pPr>
              <w:pStyle w:val="Tablerow"/>
            </w:pPr>
            <w:r w:rsidRPr="00F90D20">
              <w:t>158</w:t>
            </w:r>
          </w:p>
        </w:tc>
        <w:tc>
          <w:tcPr>
            <w:tcW w:w="1061" w:type="dxa"/>
            <w:hideMark/>
          </w:tcPr>
          <w:p w:rsidR="004F453F" w:rsidRPr="00F90D20" w:rsidRDefault="004F453F" w:rsidP="002F27A9">
            <w:pPr>
              <w:pStyle w:val="Tablerow"/>
            </w:pPr>
            <w:r w:rsidRPr="00F90D20">
              <w:t>169</w:t>
            </w:r>
          </w:p>
        </w:tc>
        <w:tc>
          <w:tcPr>
            <w:tcW w:w="1060" w:type="dxa"/>
            <w:hideMark/>
          </w:tcPr>
          <w:p w:rsidR="004F453F" w:rsidRPr="00F90D20" w:rsidRDefault="004F453F" w:rsidP="002F27A9">
            <w:pPr>
              <w:pStyle w:val="Tablerow"/>
            </w:pPr>
            <w:r w:rsidRPr="00F90D20">
              <w:t>825</w:t>
            </w:r>
          </w:p>
        </w:tc>
        <w:tc>
          <w:tcPr>
            <w:tcW w:w="1060" w:type="dxa"/>
            <w:hideMark/>
          </w:tcPr>
          <w:p w:rsidR="004F453F" w:rsidRPr="00F90D20" w:rsidRDefault="004F453F" w:rsidP="002F27A9">
            <w:pPr>
              <w:pStyle w:val="Tablerow"/>
            </w:pPr>
            <w:r w:rsidRPr="00F90D20">
              <w:t>92%</w:t>
            </w:r>
          </w:p>
        </w:tc>
        <w:tc>
          <w:tcPr>
            <w:tcW w:w="1061" w:type="dxa"/>
            <w:hideMark/>
          </w:tcPr>
          <w:p w:rsidR="004F453F" w:rsidRPr="00F90D20" w:rsidRDefault="004F453F" w:rsidP="002F27A9">
            <w:pPr>
              <w:pStyle w:val="Tablerow"/>
            </w:pPr>
            <w:r w:rsidRPr="00F90D20">
              <w:t>36</w:t>
            </w:r>
          </w:p>
        </w:tc>
        <w:tc>
          <w:tcPr>
            <w:tcW w:w="1060" w:type="dxa"/>
            <w:hideMark/>
          </w:tcPr>
          <w:p w:rsidR="004F453F" w:rsidRPr="00F90D20" w:rsidRDefault="004F453F" w:rsidP="002F27A9">
            <w:pPr>
              <w:pStyle w:val="Tablerow"/>
            </w:pPr>
            <w:r w:rsidRPr="00F90D20">
              <w:t>117</w:t>
            </w:r>
          </w:p>
        </w:tc>
        <w:tc>
          <w:tcPr>
            <w:tcW w:w="1060" w:type="dxa"/>
            <w:hideMark/>
          </w:tcPr>
          <w:p w:rsidR="004F453F" w:rsidRPr="00F90D20" w:rsidRDefault="004F453F" w:rsidP="002F27A9">
            <w:pPr>
              <w:pStyle w:val="Tablerow"/>
            </w:pPr>
            <w:r w:rsidRPr="00F90D20">
              <w:t>136</w:t>
            </w:r>
          </w:p>
        </w:tc>
        <w:tc>
          <w:tcPr>
            <w:tcW w:w="1061" w:type="dxa"/>
            <w:hideMark/>
          </w:tcPr>
          <w:p w:rsidR="004F453F" w:rsidRPr="00F90D20" w:rsidRDefault="004F453F" w:rsidP="002F27A9">
            <w:pPr>
              <w:pStyle w:val="Tablerow"/>
            </w:pPr>
            <w:r w:rsidRPr="00F90D20">
              <w:t>136</w:t>
            </w:r>
          </w:p>
        </w:tc>
      </w:tr>
      <w:tr w:rsidR="004F453F" w:rsidRPr="00F90D20" w:rsidTr="00B73093">
        <w:tc>
          <w:tcPr>
            <w:tcW w:w="1066" w:type="dxa"/>
            <w:hideMark/>
          </w:tcPr>
          <w:p w:rsidR="004F453F" w:rsidRPr="00F90D20" w:rsidRDefault="004F453F" w:rsidP="002F27A9">
            <w:pPr>
              <w:pStyle w:val="Tablerow"/>
            </w:pPr>
            <w:r w:rsidRPr="00F90D20">
              <w:t>60 to 64</w:t>
            </w:r>
          </w:p>
        </w:tc>
        <w:tc>
          <w:tcPr>
            <w:tcW w:w="1060" w:type="dxa"/>
            <w:hideMark/>
          </w:tcPr>
          <w:p w:rsidR="004F453F" w:rsidRPr="00F90D20" w:rsidRDefault="004F453F" w:rsidP="002F27A9">
            <w:pPr>
              <w:pStyle w:val="Tablerow"/>
            </w:pPr>
            <w:r w:rsidRPr="00F90D20">
              <w:t>171</w:t>
            </w:r>
          </w:p>
        </w:tc>
        <w:tc>
          <w:tcPr>
            <w:tcW w:w="1101" w:type="dxa"/>
            <w:hideMark/>
          </w:tcPr>
          <w:p w:rsidR="004F453F" w:rsidRPr="00F90D20" w:rsidRDefault="004F453F" w:rsidP="002F27A9">
            <w:pPr>
              <w:pStyle w:val="Tablerow"/>
            </w:pPr>
            <w:r w:rsidRPr="00F90D20">
              <w:t>79%</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32</w:t>
            </w:r>
          </w:p>
        </w:tc>
        <w:tc>
          <w:tcPr>
            <w:tcW w:w="1060" w:type="dxa"/>
            <w:hideMark/>
          </w:tcPr>
          <w:p w:rsidR="004F453F" w:rsidRPr="00F90D20" w:rsidRDefault="004F453F" w:rsidP="002F27A9">
            <w:pPr>
              <w:pStyle w:val="Tablerow"/>
            </w:pPr>
            <w:r w:rsidRPr="00F90D20">
              <w:t>27</w:t>
            </w:r>
          </w:p>
        </w:tc>
        <w:tc>
          <w:tcPr>
            <w:tcW w:w="1060" w:type="dxa"/>
            <w:hideMark/>
          </w:tcPr>
          <w:p w:rsidR="004F453F" w:rsidRPr="00F90D20" w:rsidRDefault="004F453F" w:rsidP="002F27A9">
            <w:pPr>
              <w:pStyle w:val="Tablerow"/>
            </w:pPr>
            <w:r w:rsidRPr="00F90D20">
              <w:t>132</w:t>
            </w:r>
          </w:p>
        </w:tc>
        <w:tc>
          <w:tcPr>
            <w:tcW w:w="1061" w:type="dxa"/>
            <w:hideMark/>
          </w:tcPr>
          <w:p w:rsidR="004F453F" w:rsidRPr="00F90D20" w:rsidRDefault="004F453F" w:rsidP="002F27A9">
            <w:pPr>
              <w:pStyle w:val="Tablerow"/>
            </w:pPr>
            <w:r w:rsidRPr="00F90D20">
              <w:t>159</w:t>
            </w:r>
          </w:p>
        </w:tc>
        <w:tc>
          <w:tcPr>
            <w:tcW w:w="1060" w:type="dxa"/>
            <w:hideMark/>
          </w:tcPr>
          <w:p w:rsidR="004F453F" w:rsidRPr="00F90D20" w:rsidRDefault="004F453F" w:rsidP="002F27A9">
            <w:pPr>
              <w:pStyle w:val="Tablerow"/>
            </w:pPr>
            <w:r w:rsidRPr="00F90D20">
              <w:t>775</w:t>
            </w:r>
          </w:p>
        </w:tc>
        <w:tc>
          <w:tcPr>
            <w:tcW w:w="1060" w:type="dxa"/>
            <w:hideMark/>
          </w:tcPr>
          <w:p w:rsidR="004F453F" w:rsidRPr="00F90D20" w:rsidRDefault="004F453F" w:rsidP="002F27A9">
            <w:pPr>
              <w:pStyle w:val="Tablerow"/>
            </w:pPr>
            <w:r w:rsidRPr="00F90D20">
              <w:t>90%</w:t>
            </w:r>
          </w:p>
        </w:tc>
        <w:tc>
          <w:tcPr>
            <w:tcW w:w="1061" w:type="dxa"/>
            <w:hideMark/>
          </w:tcPr>
          <w:p w:rsidR="004F453F" w:rsidRPr="00F90D20" w:rsidRDefault="004F453F" w:rsidP="002F27A9">
            <w:pPr>
              <w:pStyle w:val="Tablerow"/>
            </w:pPr>
            <w:r w:rsidRPr="00F90D20">
              <w:t>29</w:t>
            </w:r>
          </w:p>
        </w:tc>
        <w:tc>
          <w:tcPr>
            <w:tcW w:w="1060" w:type="dxa"/>
            <w:hideMark/>
          </w:tcPr>
          <w:p w:rsidR="004F453F" w:rsidRPr="00F90D20" w:rsidRDefault="004F453F" w:rsidP="002F27A9">
            <w:pPr>
              <w:pStyle w:val="Tablerow"/>
            </w:pPr>
            <w:r w:rsidRPr="00F90D20">
              <w:t>97</w:t>
            </w:r>
          </w:p>
        </w:tc>
        <w:tc>
          <w:tcPr>
            <w:tcW w:w="1060" w:type="dxa"/>
            <w:hideMark/>
          </w:tcPr>
          <w:p w:rsidR="004F453F" w:rsidRPr="00F90D20" w:rsidRDefault="004F453F" w:rsidP="002F27A9">
            <w:pPr>
              <w:pStyle w:val="Tablerow"/>
            </w:pPr>
            <w:r w:rsidRPr="00F90D20">
              <w:t>128</w:t>
            </w:r>
          </w:p>
        </w:tc>
        <w:tc>
          <w:tcPr>
            <w:tcW w:w="1061" w:type="dxa"/>
            <w:hideMark/>
          </w:tcPr>
          <w:p w:rsidR="004F453F" w:rsidRPr="00F90D20" w:rsidRDefault="004F453F" w:rsidP="002F27A9">
            <w:pPr>
              <w:pStyle w:val="Tablerow"/>
            </w:pPr>
            <w:r w:rsidRPr="00F90D20">
              <w:t>128</w:t>
            </w:r>
          </w:p>
        </w:tc>
      </w:tr>
      <w:tr w:rsidR="004F453F" w:rsidRPr="00F90D20" w:rsidTr="00B73093">
        <w:tc>
          <w:tcPr>
            <w:tcW w:w="1066" w:type="dxa"/>
            <w:hideMark/>
          </w:tcPr>
          <w:p w:rsidR="004F453F" w:rsidRPr="00F90D20" w:rsidRDefault="004F453F" w:rsidP="002F27A9">
            <w:pPr>
              <w:pStyle w:val="Tablerow"/>
            </w:pPr>
            <w:r w:rsidRPr="00F90D20">
              <w:t>65 to 69</w:t>
            </w:r>
          </w:p>
        </w:tc>
        <w:tc>
          <w:tcPr>
            <w:tcW w:w="1060" w:type="dxa"/>
            <w:hideMark/>
          </w:tcPr>
          <w:p w:rsidR="004F453F" w:rsidRPr="00F90D20" w:rsidRDefault="004F453F" w:rsidP="002F27A9">
            <w:pPr>
              <w:pStyle w:val="Tablerow"/>
            </w:pPr>
            <w:r w:rsidRPr="00F90D20">
              <w:t>152</w:t>
            </w:r>
          </w:p>
        </w:tc>
        <w:tc>
          <w:tcPr>
            <w:tcW w:w="1101" w:type="dxa"/>
            <w:hideMark/>
          </w:tcPr>
          <w:p w:rsidR="004F453F" w:rsidRPr="00F90D20" w:rsidRDefault="004F453F" w:rsidP="002F27A9">
            <w:pPr>
              <w:pStyle w:val="Tablerow"/>
            </w:pPr>
            <w:r w:rsidRPr="00F90D20">
              <w:t>80%</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30</w:t>
            </w:r>
          </w:p>
        </w:tc>
        <w:tc>
          <w:tcPr>
            <w:tcW w:w="1060" w:type="dxa"/>
            <w:hideMark/>
          </w:tcPr>
          <w:p w:rsidR="004F453F" w:rsidRPr="00F90D20" w:rsidRDefault="004F453F" w:rsidP="002F27A9">
            <w:pPr>
              <w:pStyle w:val="Tablerow"/>
            </w:pPr>
            <w:r w:rsidRPr="00F90D20">
              <w:t>25</w:t>
            </w:r>
          </w:p>
        </w:tc>
        <w:tc>
          <w:tcPr>
            <w:tcW w:w="1060" w:type="dxa"/>
            <w:hideMark/>
          </w:tcPr>
          <w:p w:rsidR="004F453F" w:rsidRPr="00F90D20" w:rsidRDefault="004F453F" w:rsidP="002F27A9">
            <w:pPr>
              <w:pStyle w:val="Tablerow"/>
            </w:pPr>
            <w:r w:rsidRPr="00F90D20">
              <w:t>120</w:t>
            </w:r>
          </w:p>
        </w:tc>
        <w:tc>
          <w:tcPr>
            <w:tcW w:w="1061" w:type="dxa"/>
            <w:hideMark/>
          </w:tcPr>
          <w:p w:rsidR="004F453F" w:rsidRPr="00F90D20" w:rsidRDefault="004F453F" w:rsidP="002F27A9">
            <w:pPr>
              <w:pStyle w:val="Tablerow"/>
            </w:pPr>
            <w:r w:rsidRPr="00F90D20">
              <w:t>166</w:t>
            </w:r>
          </w:p>
        </w:tc>
        <w:tc>
          <w:tcPr>
            <w:tcW w:w="1060" w:type="dxa"/>
            <w:hideMark/>
          </w:tcPr>
          <w:p w:rsidR="004F453F" w:rsidRPr="00F90D20" w:rsidRDefault="004F453F" w:rsidP="002F27A9">
            <w:pPr>
              <w:pStyle w:val="Tablerow"/>
            </w:pPr>
            <w:r w:rsidRPr="00F90D20">
              <w:t>788</w:t>
            </w:r>
          </w:p>
        </w:tc>
        <w:tc>
          <w:tcPr>
            <w:tcW w:w="1060" w:type="dxa"/>
            <w:hideMark/>
          </w:tcPr>
          <w:p w:rsidR="004F453F" w:rsidRPr="00F90D20" w:rsidRDefault="004F453F" w:rsidP="002F27A9">
            <w:pPr>
              <w:pStyle w:val="Tablerow"/>
            </w:pPr>
            <w:r w:rsidRPr="00F90D20">
              <w:t>87%</w:t>
            </w:r>
          </w:p>
        </w:tc>
        <w:tc>
          <w:tcPr>
            <w:tcW w:w="1061" w:type="dxa"/>
            <w:hideMark/>
          </w:tcPr>
          <w:p w:rsidR="004F453F" w:rsidRPr="00F90D20" w:rsidRDefault="004F453F" w:rsidP="002F27A9">
            <w:pPr>
              <w:pStyle w:val="Tablerow"/>
            </w:pPr>
            <w:r w:rsidRPr="00F90D20">
              <w:t>26</w:t>
            </w:r>
          </w:p>
        </w:tc>
        <w:tc>
          <w:tcPr>
            <w:tcW w:w="1060" w:type="dxa"/>
            <w:hideMark/>
          </w:tcPr>
          <w:p w:rsidR="004F453F" w:rsidRPr="00F90D20" w:rsidRDefault="004F453F" w:rsidP="002F27A9">
            <w:pPr>
              <w:pStyle w:val="Tablerow"/>
            </w:pPr>
            <w:r w:rsidRPr="00F90D20">
              <w:t>81</w:t>
            </w:r>
          </w:p>
        </w:tc>
        <w:tc>
          <w:tcPr>
            <w:tcW w:w="1060" w:type="dxa"/>
            <w:hideMark/>
          </w:tcPr>
          <w:p w:rsidR="004F453F" w:rsidRPr="00F90D20" w:rsidRDefault="004F453F" w:rsidP="002F27A9">
            <w:pPr>
              <w:pStyle w:val="Tablerow"/>
            </w:pPr>
            <w:r w:rsidRPr="00F90D20">
              <w:t>123</w:t>
            </w:r>
          </w:p>
        </w:tc>
        <w:tc>
          <w:tcPr>
            <w:tcW w:w="1061" w:type="dxa"/>
            <w:hideMark/>
          </w:tcPr>
          <w:p w:rsidR="004F453F" w:rsidRPr="00F90D20" w:rsidRDefault="004F453F" w:rsidP="002F27A9">
            <w:pPr>
              <w:pStyle w:val="Tablerow"/>
            </w:pPr>
            <w:r w:rsidRPr="00F90D20">
              <w:t>123</w:t>
            </w:r>
          </w:p>
        </w:tc>
      </w:tr>
      <w:tr w:rsidR="004F453F" w:rsidRPr="00F90D20" w:rsidTr="00B73093">
        <w:trPr>
          <w:trHeight w:val="375"/>
        </w:trPr>
        <w:tc>
          <w:tcPr>
            <w:tcW w:w="1066" w:type="dxa"/>
            <w:hideMark/>
          </w:tcPr>
          <w:p w:rsidR="004F453F" w:rsidRPr="00F90D20" w:rsidRDefault="004F453F" w:rsidP="002F27A9">
            <w:pPr>
              <w:pStyle w:val="Tablerow"/>
            </w:pPr>
            <w:r w:rsidRPr="00F90D20">
              <w:t>70 to 98</w:t>
            </w:r>
          </w:p>
        </w:tc>
        <w:tc>
          <w:tcPr>
            <w:tcW w:w="1060" w:type="dxa"/>
            <w:hideMark/>
          </w:tcPr>
          <w:p w:rsidR="004F453F" w:rsidRPr="00F90D20" w:rsidRDefault="004F453F" w:rsidP="002F27A9">
            <w:pPr>
              <w:pStyle w:val="Tablerow"/>
            </w:pPr>
            <w:r w:rsidRPr="00F90D20">
              <w:t>362</w:t>
            </w:r>
          </w:p>
        </w:tc>
        <w:tc>
          <w:tcPr>
            <w:tcW w:w="1101" w:type="dxa"/>
            <w:hideMark/>
          </w:tcPr>
          <w:p w:rsidR="004F453F" w:rsidRPr="00F90D20" w:rsidRDefault="004F453F" w:rsidP="002F27A9">
            <w:pPr>
              <w:pStyle w:val="Tablerow"/>
            </w:pPr>
            <w:r w:rsidRPr="00F90D20">
              <w:t>69%</w:t>
            </w:r>
          </w:p>
        </w:tc>
        <w:tc>
          <w:tcPr>
            <w:tcW w:w="1019" w:type="dxa"/>
            <w:hideMark/>
          </w:tcPr>
          <w:p w:rsidR="004F453F" w:rsidRPr="00F90D20" w:rsidRDefault="004F453F" w:rsidP="002F27A9">
            <w:pPr>
              <w:pStyle w:val="Tablerow"/>
            </w:pPr>
            <w:r w:rsidRPr="00F90D20">
              <w:t>51%</w:t>
            </w:r>
          </w:p>
        </w:tc>
        <w:tc>
          <w:tcPr>
            <w:tcW w:w="1061" w:type="dxa"/>
            <w:hideMark/>
          </w:tcPr>
          <w:p w:rsidR="004F453F" w:rsidRPr="00F90D20" w:rsidRDefault="004F453F" w:rsidP="002F27A9">
            <w:pPr>
              <w:pStyle w:val="Tablerow"/>
            </w:pPr>
            <w:r w:rsidRPr="00F90D20">
              <w:t>60</w:t>
            </w:r>
          </w:p>
        </w:tc>
        <w:tc>
          <w:tcPr>
            <w:tcW w:w="1060" w:type="dxa"/>
            <w:hideMark/>
          </w:tcPr>
          <w:p w:rsidR="004F453F" w:rsidRPr="00F90D20" w:rsidRDefault="004F453F" w:rsidP="002F27A9">
            <w:pPr>
              <w:pStyle w:val="Tablerow"/>
            </w:pPr>
            <w:r w:rsidRPr="00F90D20">
              <w:t>52</w:t>
            </w:r>
          </w:p>
        </w:tc>
        <w:tc>
          <w:tcPr>
            <w:tcW w:w="1060" w:type="dxa"/>
            <w:hideMark/>
          </w:tcPr>
          <w:p w:rsidR="004F453F" w:rsidRPr="00F90D20" w:rsidRDefault="004F453F" w:rsidP="002F27A9">
            <w:pPr>
              <w:pStyle w:val="Tablerow"/>
            </w:pPr>
            <w:r w:rsidRPr="00F90D20">
              <w:t>237</w:t>
            </w:r>
          </w:p>
        </w:tc>
        <w:tc>
          <w:tcPr>
            <w:tcW w:w="1061" w:type="dxa"/>
            <w:hideMark/>
          </w:tcPr>
          <w:p w:rsidR="004F453F" w:rsidRPr="00F90D20" w:rsidRDefault="004F453F" w:rsidP="002F27A9">
            <w:pPr>
              <w:pStyle w:val="Tablerow"/>
            </w:pPr>
            <w:r w:rsidRPr="00F90D20">
              <w:t>143</w:t>
            </w:r>
          </w:p>
        </w:tc>
        <w:tc>
          <w:tcPr>
            <w:tcW w:w="1060" w:type="dxa"/>
            <w:hideMark/>
          </w:tcPr>
          <w:p w:rsidR="004F453F" w:rsidRPr="00F90D20" w:rsidRDefault="004F453F" w:rsidP="002F27A9">
            <w:pPr>
              <w:pStyle w:val="Tablerow"/>
            </w:pPr>
            <w:r w:rsidRPr="00F90D20">
              <w:t>654</w:t>
            </w:r>
          </w:p>
        </w:tc>
        <w:tc>
          <w:tcPr>
            <w:tcW w:w="1060" w:type="dxa"/>
            <w:hideMark/>
          </w:tcPr>
          <w:p w:rsidR="004F453F" w:rsidRPr="00F90D20" w:rsidRDefault="004F453F" w:rsidP="002F27A9">
            <w:pPr>
              <w:pStyle w:val="Tablerow"/>
            </w:pPr>
            <w:r w:rsidRPr="00F90D20">
              <w:t>86%</w:t>
            </w:r>
          </w:p>
        </w:tc>
        <w:tc>
          <w:tcPr>
            <w:tcW w:w="1061" w:type="dxa"/>
            <w:hideMark/>
          </w:tcPr>
          <w:p w:rsidR="004F453F" w:rsidRPr="00F90D20" w:rsidRDefault="004F453F" w:rsidP="002F27A9">
            <w:pPr>
              <w:pStyle w:val="Tablerow"/>
            </w:pPr>
            <w:r w:rsidRPr="00F90D20">
              <w:t>52</w:t>
            </w:r>
          </w:p>
        </w:tc>
        <w:tc>
          <w:tcPr>
            <w:tcW w:w="1060" w:type="dxa"/>
            <w:hideMark/>
          </w:tcPr>
          <w:p w:rsidR="004F453F" w:rsidRPr="00F90D20" w:rsidRDefault="004F453F" w:rsidP="002F27A9">
            <w:pPr>
              <w:pStyle w:val="Tablerow"/>
            </w:pPr>
            <w:r w:rsidRPr="00F90D20">
              <w:t>166</w:t>
            </w:r>
          </w:p>
        </w:tc>
        <w:tc>
          <w:tcPr>
            <w:tcW w:w="1060" w:type="dxa"/>
            <w:hideMark/>
          </w:tcPr>
          <w:p w:rsidR="004F453F" w:rsidRPr="00F90D20" w:rsidRDefault="004F453F" w:rsidP="002F27A9">
            <w:pPr>
              <w:pStyle w:val="Tablerow"/>
            </w:pPr>
            <w:r w:rsidRPr="00F90D20">
              <w:t>107</w:t>
            </w:r>
          </w:p>
        </w:tc>
        <w:tc>
          <w:tcPr>
            <w:tcW w:w="1061" w:type="dxa"/>
            <w:hideMark/>
          </w:tcPr>
          <w:p w:rsidR="004F453F" w:rsidRPr="00F90D20" w:rsidRDefault="004F453F" w:rsidP="002F27A9">
            <w:pPr>
              <w:pStyle w:val="Tablerow"/>
            </w:pPr>
            <w:r w:rsidRPr="00F90D20">
              <w:t>107</w:t>
            </w:r>
          </w:p>
        </w:tc>
      </w:tr>
      <w:tr w:rsidR="004F453F" w:rsidRPr="00F90D20" w:rsidTr="00B73093">
        <w:trPr>
          <w:trHeight w:val="67"/>
        </w:trPr>
        <w:tc>
          <w:tcPr>
            <w:tcW w:w="1066" w:type="dxa"/>
            <w:hideMark/>
          </w:tcPr>
          <w:p w:rsidR="004F453F" w:rsidRPr="00F90D20" w:rsidRDefault="004F453F" w:rsidP="002F27A9">
            <w:pPr>
              <w:pStyle w:val="Tablerow"/>
            </w:pPr>
            <w:r w:rsidRPr="00F90D20">
              <w:t>Males</w:t>
            </w:r>
          </w:p>
        </w:tc>
        <w:tc>
          <w:tcPr>
            <w:tcW w:w="1060" w:type="dxa"/>
            <w:hideMark/>
          </w:tcPr>
          <w:p w:rsidR="004F453F" w:rsidRPr="00F90D20" w:rsidRDefault="004F453F" w:rsidP="002F27A9">
            <w:pPr>
              <w:pStyle w:val="Tablerow"/>
              <w:rPr>
                <w:b/>
              </w:rPr>
            </w:pPr>
            <w:r w:rsidRPr="00F90D20">
              <w:t>2,529</w:t>
            </w:r>
          </w:p>
        </w:tc>
        <w:tc>
          <w:tcPr>
            <w:tcW w:w="1101" w:type="dxa"/>
            <w:hideMark/>
          </w:tcPr>
          <w:p w:rsidR="004F453F" w:rsidRPr="00F90D20" w:rsidRDefault="004F453F" w:rsidP="002F27A9">
            <w:pPr>
              <w:pStyle w:val="Tablerow"/>
              <w:rPr>
                <w:b/>
              </w:rPr>
            </w:pPr>
            <w:r w:rsidRPr="00F90D20">
              <w:t>83%</w:t>
            </w:r>
          </w:p>
        </w:tc>
        <w:tc>
          <w:tcPr>
            <w:tcW w:w="1019" w:type="dxa"/>
            <w:hideMark/>
          </w:tcPr>
          <w:p w:rsidR="004F453F" w:rsidRPr="00F90D20" w:rsidRDefault="004F453F" w:rsidP="002F27A9">
            <w:pPr>
              <w:pStyle w:val="Tablerow"/>
              <w:rPr>
                <w:b/>
              </w:rPr>
            </w:pPr>
            <w:r w:rsidRPr="00F90D20">
              <w:t>49%</w:t>
            </w:r>
          </w:p>
        </w:tc>
        <w:tc>
          <w:tcPr>
            <w:tcW w:w="1061" w:type="dxa"/>
            <w:hideMark/>
          </w:tcPr>
          <w:p w:rsidR="004F453F" w:rsidRPr="00F90D20" w:rsidRDefault="004F453F" w:rsidP="002F27A9">
            <w:pPr>
              <w:pStyle w:val="Tablerow"/>
              <w:rPr>
                <w:b/>
              </w:rPr>
            </w:pPr>
            <w:r w:rsidRPr="00F90D20">
              <w:t>423</w:t>
            </w:r>
          </w:p>
        </w:tc>
        <w:tc>
          <w:tcPr>
            <w:tcW w:w="1060" w:type="dxa"/>
            <w:hideMark/>
          </w:tcPr>
          <w:p w:rsidR="004F453F" w:rsidRPr="00F90D20" w:rsidRDefault="004F453F" w:rsidP="002F27A9">
            <w:pPr>
              <w:pStyle w:val="Tablerow"/>
              <w:rPr>
                <w:b/>
              </w:rPr>
            </w:pPr>
            <w:r w:rsidRPr="00F90D20">
              <w:t>439</w:t>
            </w:r>
          </w:p>
        </w:tc>
        <w:tc>
          <w:tcPr>
            <w:tcW w:w="1060" w:type="dxa"/>
            <w:hideMark/>
          </w:tcPr>
          <w:p w:rsidR="004F453F" w:rsidRPr="00F90D20" w:rsidRDefault="004F453F" w:rsidP="002F27A9">
            <w:pPr>
              <w:pStyle w:val="Tablerow"/>
              <w:rPr>
                <w:b/>
              </w:rPr>
            </w:pPr>
            <w:r w:rsidRPr="00F90D20">
              <w:t>2,599</w:t>
            </w:r>
          </w:p>
        </w:tc>
        <w:tc>
          <w:tcPr>
            <w:tcW w:w="1061" w:type="dxa"/>
            <w:hideMark/>
          </w:tcPr>
          <w:p w:rsidR="004F453F" w:rsidRPr="00F90D20" w:rsidRDefault="004F453F" w:rsidP="002F27A9">
            <w:pPr>
              <w:pStyle w:val="Tablerow"/>
              <w:rPr>
                <w:b/>
              </w:rPr>
            </w:pPr>
            <w:r w:rsidRPr="00F90D20">
              <w:t>174</w:t>
            </w:r>
          </w:p>
        </w:tc>
        <w:tc>
          <w:tcPr>
            <w:tcW w:w="1060" w:type="dxa"/>
            <w:hideMark/>
          </w:tcPr>
          <w:p w:rsidR="004F453F" w:rsidRPr="00F90D20" w:rsidRDefault="004F453F" w:rsidP="002F27A9">
            <w:pPr>
              <w:pStyle w:val="Tablerow"/>
              <w:rPr>
                <w:b/>
              </w:rPr>
            </w:pPr>
            <w:r w:rsidRPr="00F90D20">
              <w:t>1,028</w:t>
            </w:r>
          </w:p>
        </w:tc>
        <w:tc>
          <w:tcPr>
            <w:tcW w:w="1060" w:type="dxa"/>
            <w:hideMark/>
          </w:tcPr>
          <w:p w:rsidR="004F453F" w:rsidRPr="00F90D20" w:rsidRDefault="004F453F" w:rsidP="002F27A9">
            <w:pPr>
              <w:pStyle w:val="Tablerow"/>
              <w:rPr>
                <w:b/>
              </w:rPr>
            </w:pPr>
            <w:r w:rsidRPr="00F90D20">
              <w:t>76%</w:t>
            </w:r>
          </w:p>
        </w:tc>
        <w:tc>
          <w:tcPr>
            <w:tcW w:w="1061" w:type="dxa"/>
            <w:hideMark/>
          </w:tcPr>
          <w:p w:rsidR="004F453F" w:rsidRPr="00F90D20" w:rsidRDefault="004F453F" w:rsidP="002F27A9">
            <w:pPr>
              <w:pStyle w:val="Tablerow"/>
              <w:rPr>
                <w:b/>
              </w:rPr>
            </w:pPr>
            <w:r w:rsidRPr="00F90D20">
              <w:t>320</w:t>
            </w:r>
          </w:p>
        </w:tc>
        <w:tc>
          <w:tcPr>
            <w:tcW w:w="1060" w:type="dxa"/>
          </w:tcPr>
          <w:p w:rsidR="004F453F" w:rsidRPr="00F90D20" w:rsidRDefault="004F453F" w:rsidP="002F27A9">
            <w:pPr>
              <w:pStyle w:val="Tablerow"/>
              <w:rPr>
                <w:b/>
              </w:rPr>
            </w:pPr>
            <w:r w:rsidRPr="00F90D20">
              <w:t>1,495</w:t>
            </w:r>
          </w:p>
        </w:tc>
        <w:tc>
          <w:tcPr>
            <w:tcW w:w="1060" w:type="dxa"/>
          </w:tcPr>
          <w:p w:rsidR="004F453F" w:rsidRPr="00F90D20" w:rsidRDefault="004F453F" w:rsidP="002F27A9">
            <w:pPr>
              <w:pStyle w:val="Tablerow"/>
              <w:rPr>
                <w:b/>
              </w:rPr>
            </w:pPr>
            <w:r w:rsidRPr="00F90D20">
              <w:t>108</w:t>
            </w:r>
          </w:p>
        </w:tc>
        <w:tc>
          <w:tcPr>
            <w:tcW w:w="1061" w:type="dxa"/>
          </w:tcPr>
          <w:p w:rsidR="004F453F" w:rsidRPr="00F90D20" w:rsidRDefault="004F453F" w:rsidP="002F27A9">
            <w:pPr>
              <w:pStyle w:val="Tablerow"/>
              <w:rPr>
                <w:b/>
              </w:rPr>
            </w:pPr>
            <w:r w:rsidRPr="00F90D20">
              <w:t>591</w:t>
            </w:r>
          </w:p>
        </w:tc>
      </w:tr>
      <w:tr w:rsidR="004F453F" w:rsidRPr="00F90D20" w:rsidTr="00B73093">
        <w:trPr>
          <w:trHeight w:val="73"/>
        </w:trPr>
        <w:tc>
          <w:tcPr>
            <w:tcW w:w="1066" w:type="dxa"/>
            <w:hideMark/>
          </w:tcPr>
          <w:p w:rsidR="004F453F" w:rsidRPr="00F90D20" w:rsidRDefault="004F453F" w:rsidP="002F27A9">
            <w:pPr>
              <w:pStyle w:val="Tablerow"/>
            </w:pPr>
            <w:r w:rsidRPr="00F90D20">
              <w:t>15 to 17</w:t>
            </w:r>
          </w:p>
        </w:tc>
        <w:tc>
          <w:tcPr>
            <w:tcW w:w="1060" w:type="dxa"/>
            <w:hideMark/>
          </w:tcPr>
          <w:p w:rsidR="004F453F" w:rsidRPr="00F90D20" w:rsidRDefault="004F453F" w:rsidP="002F27A9">
            <w:pPr>
              <w:pStyle w:val="Tablerow"/>
            </w:pPr>
            <w:r w:rsidRPr="00F90D20">
              <w:t>110</w:t>
            </w:r>
          </w:p>
        </w:tc>
        <w:tc>
          <w:tcPr>
            <w:tcW w:w="1101" w:type="dxa"/>
            <w:hideMark/>
          </w:tcPr>
          <w:p w:rsidR="004F453F" w:rsidRPr="00F90D20" w:rsidRDefault="004F453F" w:rsidP="002F27A9">
            <w:pPr>
              <w:pStyle w:val="Tablerow"/>
            </w:pPr>
            <w:r w:rsidRPr="00F90D20">
              <w:t>95%</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26</w:t>
            </w:r>
          </w:p>
        </w:tc>
        <w:tc>
          <w:tcPr>
            <w:tcW w:w="1060" w:type="dxa"/>
            <w:hideMark/>
          </w:tcPr>
          <w:p w:rsidR="004F453F" w:rsidRPr="00F90D20" w:rsidRDefault="004F453F" w:rsidP="002F27A9">
            <w:pPr>
              <w:pStyle w:val="Tablerow"/>
            </w:pPr>
            <w:r w:rsidRPr="00F90D20">
              <w:t>33</w:t>
            </w:r>
          </w:p>
        </w:tc>
        <w:tc>
          <w:tcPr>
            <w:tcW w:w="1060" w:type="dxa"/>
            <w:hideMark/>
          </w:tcPr>
          <w:p w:rsidR="004F453F" w:rsidRPr="00F90D20" w:rsidRDefault="004F453F" w:rsidP="002F27A9">
            <w:pPr>
              <w:pStyle w:val="Tablerow"/>
            </w:pPr>
            <w:r w:rsidRPr="00F90D20">
              <w:t>238</w:t>
            </w:r>
          </w:p>
        </w:tc>
        <w:tc>
          <w:tcPr>
            <w:tcW w:w="1061" w:type="dxa"/>
            <w:hideMark/>
          </w:tcPr>
          <w:p w:rsidR="004F453F" w:rsidRPr="00F90D20" w:rsidRDefault="004F453F" w:rsidP="002F27A9">
            <w:pPr>
              <w:pStyle w:val="Tablerow"/>
            </w:pPr>
            <w:r w:rsidRPr="00F90D20">
              <w:t>298</w:t>
            </w:r>
          </w:p>
        </w:tc>
        <w:tc>
          <w:tcPr>
            <w:tcW w:w="1060" w:type="dxa"/>
            <w:hideMark/>
          </w:tcPr>
          <w:p w:rsidR="004F453F" w:rsidRPr="00F90D20" w:rsidRDefault="004F453F" w:rsidP="002F27A9">
            <w:pPr>
              <w:pStyle w:val="Tablerow"/>
            </w:pPr>
            <w:r w:rsidRPr="00F90D20">
              <w:t>2,164</w:t>
            </w:r>
          </w:p>
        </w:tc>
        <w:tc>
          <w:tcPr>
            <w:tcW w:w="1060" w:type="dxa"/>
            <w:hideMark/>
          </w:tcPr>
          <w:p w:rsidR="004F453F" w:rsidRPr="00F90D20" w:rsidRDefault="004F453F" w:rsidP="002F27A9">
            <w:pPr>
              <w:pStyle w:val="Tablerow"/>
            </w:pPr>
            <w:r w:rsidRPr="00F90D20">
              <w:t>42%</w:t>
            </w:r>
          </w:p>
        </w:tc>
        <w:tc>
          <w:tcPr>
            <w:tcW w:w="1061" w:type="dxa"/>
            <w:hideMark/>
          </w:tcPr>
          <w:p w:rsidR="004F453F" w:rsidRPr="00F90D20" w:rsidRDefault="004F453F" w:rsidP="002F27A9">
            <w:pPr>
              <w:pStyle w:val="Tablerow"/>
            </w:pPr>
            <w:r w:rsidRPr="00F90D20">
              <w:t>11</w:t>
            </w:r>
          </w:p>
        </w:tc>
        <w:tc>
          <w:tcPr>
            <w:tcW w:w="1060" w:type="dxa"/>
          </w:tcPr>
          <w:p w:rsidR="004F453F" w:rsidRPr="00F90D20" w:rsidRDefault="004F453F" w:rsidP="002F27A9">
            <w:pPr>
              <w:pStyle w:val="Tablerow"/>
            </w:pPr>
            <w:r w:rsidRPr="00F90D20">
              <w:t>96</w:t>
            </w:r>
          </w:p>
        </w:tc>
        <w:tc>
          <w:tcPr>
            <w:tcW w:w="1060" w:type="dxa"/>
          </w:tcPr>
          <w:p w:rsidR="004F453F" w:rsidRPr="00F90D20" w:rsidRDefault="004F453F" w:rsidP="002F27A9">
            <w:pPr>
              <w:pStyle w:val="Tablerow"/>
            </w:pPr>
            <w:r w:rsidRPr="00F90D20">
              <w:t>125</w:t>
            </w:r>
          </w:p>
        </w:tc>
        <w:tc>
          <w:tcPr>
            <w:tcW w:w="1061" w:type="dxa"/>
          </w:tcPr>
          <w:p w:rsidR="004F453F" w:rsidRPr="00F90D20" w:rsidRDefault="004F453F" w:rsidP="002F27A9">
            <w:pPr>
              <w:pStyle w:val="Tablerow"/>
            </w:pPr>
            <w:r w:rsidRPr="00F90D20">
              <w:t>873</w:t>
            </w:r>
          </w:p>
        </w:tc>
      </w:tr>
      <w:tr w:rsidR="004F453F" w:rsidRPr="00F90D20" w:rsidTr="00B73093">
        <w:trPr>
          <w:trHeight w:val="67"/>
        </w:trPr>
        <w:tc>
          <w:tcPr>
            <w:tcW w:w="1066" w:type="dxa"/>
            <w:hideMark/>
          </w:tcPr>
          <w:p w:rsidR="004F453F" w:rsidRPr="00F90D20" w:rsidRDefault="004F453F" w:rsidP="002F27A9">
            <w:pPr>
              <w:pStyle w:val="Tablerow"/>
            </w:pPr>
            <w:r w:rsidRPr="00F90D20">
              <w:t>18 to 19</w:t>
            </w:r>
          </w:p>
        </w:tc>
        <w:tc>
          <w:tcPr>
            <w:tcW w:w="1060" w:type="dxa"/>
            <w:hideMark/>
          </w:tcPr>
          <w:p w:rsidR="004F453F" w:rsidRPr="00F90D20" w:rsidRDefault="004F453F" w:rsidP="002F27A9">
            <w:pPr>
              <w:pStyle w:val="Tablerow"/>
            </w:pPr>
            <w:r w:rsidRPr="00F90D20">
              <w:t>81</w:t>
            </w:r>
          </w:p>
        </w:tc>
        <w:tc>
          <w:tcPr>
            <w:tcW w:w="1101" w:type="dxa"/>
            <w:hideMark/>
          </w:tcPr>
          <w:p w:rsidR="004F453F" w:rsidRPr="00F90D20" w:rsidRDefault="004F453F" w:rsidP="002F27A9">
            <w:pPr>
              <w:pStyle w:val="Tablerow"/>
            </w:pPr>
            <w:r w:rsidRPr="00F90D20">
              <w:t>92%</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15</w:t>
            </w:r>
          </w:p>
        </w:tc>
        <w:tc>
          <w:tcPr>
            <w:tcW w:w="1060" w:type="dxa"/>
            <w:hideMark/>
          </w:tcPr>
          <w:p w:rsidR="004F453F" w:rsidRPr="00F90D20" w:rsidRDefault="004F453F" w:rsidP="002F27A9">
            <w:pPr>
              <w:pStyle w:val="Tablerow"/>
            </w:pPr>
            <w:r w:rsidRPr="00F90D20">
              <w:t>19</w:t>
            </w:r>
          </w:p>
        </w:tc>
        <w:tc>
          <w:tcPr>
            <w:tcW w:w="1060" w:type="dxa"/>
            <w:hideMark/>
          </w:tcPr>
          <w:p w:rsidR="004F453F" w:rsidRPr="00F90D20" w:rsidRDefault="004F453F" w:rsidP="002F27A9">
            <w:pPr>
              <w:pStyle w:val="Tablerow"/>
            </w:pPr>
            <w:r w:rsidRPr="00F90D20">
              <w:t>126</w:t>
            </w:r>
          </w:p>
        </w:tc>
        <w:tc>
          <w:tcPr>
            <w:tcW w:w="1061" w:type="dxa"/>
            <w:hideMark/>
          </w:tcPr>
          <w:p w:rsidR="004F453F" w:rsidRPr="00F90D20" w:rsidRDefault="004F453F" w:rsidP="002F27A9">
            <w:pPr>
              <w:pStyle w:val="Tablerow"/>
            </w:pPr>
            <w:r w:rsidRPr="00F90D20">
              <w:t>233</w:t>
            </w:r>
          </w:p>
        </w:tc>
        <w:tc>
          <w:tcPr>
            <w:tcW w:w="1060" w:type="dxa"/>
            <w:hideMark/>
          </w:tcPr>
          <w:p w:rsidR="004F453F" w:rsidRPr="00F90D20" w:rsidRDefault="004F453F" w:rsidP="002F27A9">
            <w:pPr>
              <w:pStyle w:val="Tablerow"/>
            </w:pPr>
            <w:r w:rsidRPr="00F90D20">
              <w:t>1,554</w:t>
            </w:r>
          </w:p>
        </w:tc>
        <w:tc>
          <w:tcPr>
            <w:tcW w:w="1060" w:type="dxa"/>
            <w:hideMark/>
          </w:tcPr>
          <w:p w:rsidR="004F453F" w:rsidRPr="00F90D20" w:rsidRDefault="004F453F" w:rsidP="002F27A9">
            <w:pPr>
              <w:pStyle w:val="Tablerow"/>
            </w:pPr>
            <w:r w:rsidRPr="00F90D20">
              <w:t>55%</w:t>
            </w:r>
          </w:p>
        </w:tc>
        <w:tc>
          <w:tcPr>
            <w:tcW w:w="1061" w:type="dxa"/>
            <w:hideMark/>
          </w:tcPr>
          <w:p w:rsidR="004F453F" w:rsidRPr="00F90D20" w:rsidRDefault="004F453F" w:rsidP="002F27A9">
            <w:pPr>
              <w:pStyle w:val="Tablerow"/>
            </w:pPr>
            <w:r w:rsidRPr="00F90D20">
              <w:t>8</w:t>
            </w:r>
          </w:p>
        </w:tc>
        <w:tc>
          <w:tcPr>
            <w:tcW w:w="1060" w:type="dxa"/>
          </w:tcPr>
          <w:p w:rsidR="004F453F" w:rsidRPr="00F90D20" w:rsidRDefault="004F453F" w:rsidP="002F27A9">
            <w:pPr>
              <w:pStyle w:val="Tablerow"/>
            </w:pPr>
            <w:r w:rsidRPr="00F90D20">
              <w:t>58</w:t>
            </w:r>
          </w:p>
        </w:tc>
        <w:tc>
          <w:tcPr>
            <w:tcW w:w="1060" w:type="dxa"/>
          </w:tcPr>
          <w:p w:rsidR="004F453F" w:rsidRPr="00F90D20" w:rsidRDefault="004F453F" w:rsidP="002F27A9">
            <w:pPr>
              <w:pStyle w:val="Tablerow"/>
            </w:pPr>
            <w:r w:rsidRPr="00F90D20">
              <w:t>119</w:t>
            </w:r>
          </w:p>
        </w:tc>
        <w:tc>
          <w:tcPr>
            <w:tcW w:w="1061" w:type="dxa"/>
          </w:tcPr>
          <w:p w:rsidR="004F453F" w:rsidRPr="00F90D20" w:rsidRDefault="004F453F" w:rsidP="002F27A9">
            <w:pPr>
              <w:pStyle w:val="Tablerow"/>
            </w:pPr>
            <w:r w:rsidRPr="00F90D20">
              <w:t>710</w:t>
            </w:r>
          </w:p>
        </w:tc>
      </w:tr>
      <w:tr w:rsidR="004F453F" w:rsidRPr="00F90D20" w:rsidTr="00B73093">
        <w:trPr>
          <w:trHeight w:val="67"/>
        </w:trPr>
        <w:tc>
          <w:tcPr>
            <w:tcW w:w="1066" w:type="dxa"/>
            <w:hideMark/>
          </w:tcPr>
          <w:p w:rsidR="004F453F" w:rsidRPr="00F90D20" w:rsidRDefault="004F453F" w:rsidP="002F27A9">
            <w:pPr>
              <w:pStyle w:val="Tablerow"/>
            </w:pPr>
            <w:r w:rsidRPr="00F90D20">
              <w:t>20 to 24</w:t>
            </w:r>
          </w:p>
        </w:tc>
        <w:tc>
          <w:tcPr>
            <w:tcW w:w="1060" w:type="dxa"/>
            <w:hideMark/>
          </w:tcPr>
          <w:p w:rsidR="004F453F" w:rsidRPr="00F90D20" w:rsidRDefault="004F453F" w:rsidP="002F27A9">
            <w:pPr>
              <w:pStyle w:val="Tablerow"/>
            </w:pPr>
            <w:r w:rsidRPr="00F90D20">
              <w:t>237</w:t>
            </w:r>
          </w:p>
        </w:tc>
        <w:tc>
          <w:tcPr>
            <w:tcW w:w="1101" w:type="dxa"/>
            <w:hideMark/>
          </w:tcPr>
          <w:p w:rsidR="004F453F" w:rsidRPr="00F90D20" w:rsidRDefault="004F453F" w:rsidP="002F27A9">
            <w:pPr>
              <w:pStyle w:val="Tablerow"/>
            </w:pPr>
            <w:r w:rsidRPr="00F90D20">
              <w:t>88%</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43</w:t>
            </w:r>
          </w:p>
        </w:tc>
        <w:tc>
          <w:tcPr>
            <w:tcW w:w="1060" w:type="dxa"/>
            <w:hideMark/>
          </w:tcPr>
          <w:p w:rsidR="004F453F" w:rsidRPr="00F90D20" w:rsidRDefault="004F453F" w:rsidP="002F27A9">
            <w:pPr>
              <w:pStyle w:val="Tablerow"/>
            </w:pPr>
            <w:r w:rsidRPr="00F90D20">
              <w:t>51</w:t>
            </w:r>
          </w:p>
        </w:tc>
        <w:tc>
          <w:tcPr>
            <w:tcW w:w="1060" w:type="dxa"/>
            <w:hideMark/>
          </w:tcPr>
          <w:p w:rsidR="004F453F" w:rsidRPr="00F90D20" w:rsidRDefault="004F453F" w:rsidP="002F27A9">
            <w:pPr>
              <w:pStyle w:val="Tablerow"/>
            </w:pPr>
            <w:r w:rsidRPr="00F90D20">
              <w:t>348</w:t>
            </w:r>
          </w:p>
        </w:tc>
        <w:tc>
          <w:tcPr>
            <w:tcW w:w="1061" w:type="dxa"/>
            <w:hideMark/>
          </w:tcPr>
          <w:p w:rsidR="004F453F" w:rsidRPr="00F90D20" w:rsidRDefault="004F453F" w:rsidP="002F27A9">
            <w:pPr>
              <w:pStyle w:val="Tablerow"/>
            </w:pPr>
            <w:r w:rsidRPr="00F90D20">
              <w:t>215</w:t>
            </w:r>
          </w:p>
        </w:tc>
        <w:tc>
          <w:tcPr>
            <w:tcW w:w="1060" w:type="dxa"/>
            <w:hideMark/>
          </w:tcPr>
          <w:p w:rsidR="004F453F" w:rsidRPr="00F90D20" w:rsidRDefault="004F453F" w:rsidP="002F27A9">
            <w:pPr>
              <w:pStyle w:val="Tablerow"/>
            </w:pPr>
            <w:r w:rsidRPr="00F90D20">
              <w:t>1,465</w:t>
            </w:r>
          </w:p>
        </w:tc>
        <w:tc>
          <w:tcPr>
            <w:tcW w:w="1060" w:type="dxa"/>
            <w:hideMark/>
          </w:tcPr>
          <w:p w:rsidR="004F453F" w:rsidRPr="00F90D20" w:rsidRDefault="004F453F" w:rsidP="002F27A9">
            <w:pPr>
              <w:pStyle w:val="Tablerow"/>
            </w:pPr>
            <w:r w:rsidRPr="00F90D20">
              <w:t>64%</w:t>
            </w:r>
          </w:p>
        </w:tc>
        <w:tc>
          <w:tcPr>
            <w:tcW w:w="1061" w:type="dxa"/>
            <w:hideMark/>
          </w:tcPr>
          <w:p w:rsidR="004F453F" w:rsidRPr="00F90D20" w:rsidRDefault="004F453F" w:rsidP="002F27A9">
            <w:pPr>
              <w:pStyle w:val="Tablerow"/>
            </w:pPr>
            <w:r w:rsidRPr="00F90D20">
              <w:t>28</w:t>
            </w:r>
          </w:p>
        </w:tc>
        <w:tc>
          <w:tcPr>
            <w:tcW w:w="1060" w:type="dxa"/>
          </w:tcPr>
          <w:p w:rsidR="004F453F" w:rsidRPr="00F90D20" w:rsidRDefault="004F453F" w:rsidP="002F27A9">
            <w:pPr>
              <w:pStyle w:val="Tablerow"/>
            </w:pPr>
            <w:r w:rsidRPr="00F90D20">
              <w:t>176</w:t>
            </w:r>
          </w:p>
        </w:tc>
        <w:tc>
          <w:tcPr>
            <w:tcW w:w="1060" w:type="dxa"/>
          </w:tcPr>
          <w:p w:rsidR="004F453F" w:rsidRPr="00F90D20" w:rsidRDefault="004F453F" w:rsidP="002F27A9">
            <w:pPr>
              <w:pStyle w:val="Tablerow"/>
            </w:pPr>
            <w:r w:rsidRPr="00F90D20">
              <w:t>119</w:t>
            </w:r>
          </w:p>
        </w:tc>
        <w:tc>
          <w:tcPr>
            <w:tcW w:w="1061" w:type="dxa"/>
          </w:tcPr>
          <w:p w:rsidR="004F453F" w:rsidRPr="00F90D20" w:rsidRDefault="004F453F" w:rsidP="002F27A9">
            <w:pPr>
              <w:pStyle w:val="Tablerow"/>
            </w:pPr>
            <w:r w:rsidRPr="00F90D20">
              <w:t>742</w:t>
            </w:r>
          </w:p>
        </w:tc>
      </w:tr>
      <w:tr w:rsidR="004F453F" w:rsidRPr="00F90D20" w:rsidTr="00B73093">
        <w:trPr>
          <w:trHeight w:val="67"/>
        </w:trPr>
        <w:tc>
          <w:tcPr>
            <w:tcW w:w="1066" w:type="dxa"/>
            <w:hideMark/>
          </w:tcPr>
          <w:p w:rsidR="004F453F" w:rsidRPr="00F90D20" w:rsidRDefault="004F453F" w:rsidP="002F27A9">
            <w:pPr>
              <w:pStyle w:val="Tablerow"/>
            </w:pPr>
            <w:r w:rsidRPr="00F90D20">
              <w:t>25 to 29</w:t>
            </w:r>
          </w:p>
        </w:tc>
        <w:tc>
          <w:tcPr>
            <w:tcW w:w="1060" w:type="dxa"/>
            <w:hideMark/>
          </w:tcPr>
          <w:p w:rsidR="004F453F" w:rsidRPr="00F90D20" w:rsidRDefault="004F453F" w:rsidP="002F27A9">
            <w:pPr>
              <w:pStyle w:val="Tablerow"/>
            </w:pPr>
            <w:r w:rsidRPr="00F90D20">
              <w:t>249</w:t>
            </w:r>
          </w:p>
        </w:tc>
        <w:tc>
          <w:tcPr>
            <w:tcW w:w="1101" w:type="dxa"/>
            <w:hideMark/>
          </w:tcPr>
          <w:p w:rsidR="004F453F" w:rsidRPr="00F90D20" w:rsidRDefault="004F453F" w:rsidP="002F27A9">
            <w:pPr>
              <w:pStyle w:val="Tablerow"/>
            </w:pPr>
            <w:r w:rsidRPr="00F90D20">
              <w:t>86%</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38</w:t>
            </w:r>
          </w:p>
        </w:tc>
        <w:tc>
          <w:tcPr>
            <w:tcW w:w="1060" w:type="dxa"/>
            <w:hideMark/>
          </w:tcPr>
          <w:p w:rsidR="004F453F" w:rsidRPr="00F90D20" w:rsidRDefault="004F453F" w:rsidP="002F27A9">
            <w:pPr>
              <w:pStyle w:val="Tablerow"/>
            </w:pPr>
            <w:r w:rsidRPr="00F90D20">
              <w:t>37</w:t>
            </w:r>
          </w:p>
        </w:tc>
        <w:tc>
          <w:tcPr>
            <w:tcW w:w="1060" w:type="dxa"/>
            <w:hideMark/>
          </w:tcPr>
          <w:p w:rsidR="004F453F" w:rsidRPr="00F90D20" w:rsidRDefault="004F453F" w:rsidP="002F27A9">
            <w:pPr>
              <w:pStyle w:val="Tablerow"/>
            </w:pPr>
            <w:r w:rsidRPr="00F90D20">
              <w:t>246</w:t>
            </w:r>
          </w:p>
        </w:tc>
        <w:tc>
          <w:tcPr>
            <w:tcW w:w="1061" w:type="dxa"/>
            <w:hideMark/>
          </w:tcPr>
          <w:p w:rsidR="004F453F" w:rsidRPr="00F90D20" w:rsidRDefault="004F453F" w:rsidP="002F27A9">
            <w:pPr>
              <w:pStyle w:val="Tablerow"/>
            </w:pPr>
            <w:r w:rsidRPr="00F90D20">
              <w:t>150</w:t>
            </w:r>
          </w:p>
        </w:tc>
        <w:tc>
          <w:tcPr>
            <w:tcW w:w="1060" w:type="dxa"/>
            <w:hideMark/>
          </w:tcPr>
          <w:p w:rsidR="004F453F" w:rsidRPr="00F90D20" w:rsidRDefault="004F453F" w:rsidP="002F27A9">
            <w:pPr>
              <w:pStyle w:val="Tablerow"/>
            </w:pPr>
            <w:r w:rsidRPr="00F90D20">
              <w:t>988</w:t>
            </w:r>
          </w:p>
        </w:tc>
        <w:tc>
          <w:tcPr>
            <w:tcW w:w="1060" w:type="dxa"/>
            <w:hideMark/>
          </w:tcPr>
          <w:p w:rsidR="004F453F" w:rsidRPr="00F90D20" w:rsidRDefault="004F453F" w:rsidP="002F27A9">
            <w:pPr>
              <w:pStyle w:val="Tablerow"/>
            </w:pPr>
            <w:r w:rsidRPr="00F90D20">
              <w:t>72%</w:t>
            </w:r>
          </w:p>
        </w:tc>
        <w:tc>
          <w:tcPr>
            <w:tcW w:w="1061" w:type="dxa"/>
            <w:hideMark/>
          </w:tcPr>
          <w:p w:rsidR="004F453F" w:rsidRPr="00F90D20" w:rsidRDefault="004F453F" w:rsidP="002F27A9">
            <w:pPr>
              <w:pStyle w:val="Tablerow"/>
            </w:pPr>
            <w:r w:rsidRPr="00F90D20">
              <w:t>27</w:t>
            </w:r>
          </w:p>
        </w:tc>
        <w:tc>
          <w:tcPr>
            <w:tcW w:w="1060" w:type="dxa"/>
          </w:tcPr>
          <w:p w:rsidR="004F453F" w:rsidRPr="00F90D20" w:rsidRDefault="004F453F" w:rsidP="002F27A9">
            <w:pPr>
              <w:pStyle w:val="Tablerow"/>
            </w:pPr>
            <w:r w:rsidRPr="00F90D20">
              <w:t>144</w:t>
            </w:r>
          </w:p>
        </w:tc>
        <w:tc>
          <w:tcPr>
            <w:tcW w:w="1060" w:type="dxa"/>
          </w:tcPr>
          <w:p w:rsidR="004F453F" w:rsidRPr="00F90D20" w:rsidRDefault="004F453F" w:rsidP="002F27A9">
            <w:pPr>
              <w:pStyle w:val="Tablerow"/>
            </w:pPr>
            <w:r w:rsidRPr="00F90D20">
              <w:t>96</w:t>
            </w:r>
          </w:p>
        </w:tc>
        <w:tc>
          <w:tcPr>
            <w:tcW w:w="1061" w:type="dxa"/>
          </w:tcPr>
          <w:p w:rsidR="004F453F" w:rsidRPr="00F90D20" w:rsidRDefault="004F453F" w:rsidP="002F27A9">
            <w:pPr>
              <w:pStyle w:val="Tablerow"/>
            </w:pPr>
            <w:r w:rsidRPr="00F90D20">
              <w:t>577</w:t>
            </w:r>
          </w:p>
        </w:tc>
      </w:tr>
      <w:tr w:rsidR="004F453F" w:rsidRPr="00F90D20" w:rsidTr="00B73093">
        <w:trPr>
          <w:trHeight w:val="67"/>
        </w:trPr>
        <w:tc>
          <w:tcPr>
            <w:tcW w:w="1066" w:type="dxa"/>
            <w:hideMark/>
          </w:tcPr>
          <w:p w:rsidR="004F453F" w:rsidRPr="00F90D20" w:rsidRDefault="004F453F" w:rsidP="002F27A9">
            <w:pPr>
              <w:pStyle w:val="Tablerow"/>
            </w:pPr>
            <w:r w:rsidRPr="00F90D20">
              <w:t>30 to 34</w:t>
            </w:r>
          </w:p>
        </w:tc>
        <w:tc>
          <w:tcPr>
            <w:tcW w:w="1060" w:type="dxa"/>
            <w:hideMark/>
          </w:tcPr>
          <w:p w:rsidR="004F453F" w:rsidRPr="00F90D20" w:rsidRDefault="004F453F" w:rsidP="002F27A9">
            <w:pPr>
              <w:pStyle w:val="Tablerow"/>
            </w:pPr>
            <w:r w:rsidRPr="00F90D20">
              <w:t>244</w:t>
            </w:r>
          </w:p>
        </w:tc>
        <w:tc>
          <w:tcPr>
            <w:tcW w:w="1101" w:type="dxa"/>
            <w:hideMark/>
          </w:tcPr>
          <w:p w:rsidR="004F453F" w:rsidRPr="00F90D20" w:rsidRDefault="004F453F" w:rsidP="002F27A9">
            <w:pPr>
              <w:pStyle w:val="Tablerow"/>
            </w:pPr>
            <w:r w:rsidRPr="00F90D20">
              <w:t>86%</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37</w:t>
            </w:r>
          </w:p>
        </w:tc>
        <w:tc>
          <w:tcPr>
            <w:tcW w:w="1060" w:type="dxa"/>
            <w:hideMark/>
          </w:tcPr>
          <w:p w:rsidR="004F453F" w:rsidRPr="00F90D20" w:rsidRDefault="004F453F" w:rsidP="002F27A9">
            <w:pPr>
              <w:pStyle w:val="Tablerow"/>
            </w:pPr>
            <w:r w:rsidRPr="00F90D20">
              <w:t>36</w:t>
            </w:r>
          </w:p>
        </w:tc>
        <w:tc>
          <w:tcPr>
            <w:tcW w:w="1060" w:type="dxa"/>
            <w:hideMark/>
          </w:tcPr>
          <w:p w:rsidR="004F453F" w:rsidRPr="00F90D20" w:rsidRDefault="004F453F" w:rsidP="002F27A9">
            <w:pPr>
              <w:pStyle w:val="Tablerow"/>
            </w:pPr>
            <w:r w:rsidRPr="00F90D20">
              <w:t>246</w:t>
            </w:r>
          </w:p>
        </w:tc>
        <w:tc>
          <w:tcPr>
            <w:tcW w:w="1061" w:type="dxa"/>
            <w:hideMark/>
          </w:tcPr>
          <w:p w:rsidR="004F453F" w:rsidRPr="00F90D20" w:rsidRDefault="004F453F" w:rsidP="002F27A9">
            <w:pPr>
              <w:pStyle w:val="Tablerow"/>
            </w:pPr>
            <w:r w:rsidRPr="00F90D20">
              <w:t>148</w:t>
            </w:r>
          </w:p>
        </w:tc>
        <w:tc>
          <w:tcPr>
            <w:tcW w:w="1060" w:type="dxa"/>
            <w:hideMark/>
          </w:tcPr>
          <w:p w:rsidR="004F453F" w:rsidRPr="00F90D20" w:rsidRDefault="004F453F" w:rsidP="002F27A9">
            <w:pPr>
              <w:pStyle w:val="Tablerow"/>
            </w:pPr>
            <w:r w:rsidRPr="00F90D20">
              <w:t>1,010</w:t>
            </w:r>
          </w:p>
        </w:tc>
        <w:tc>
          <w:tcPr>
            <w:tcW w:w="1060" w:type="dxa"/>
            <w:hideMark/>
          </w:tcPr>
          <w:p w:rsidR="004F453F" w:rsidRPr="00F90D20" w:rsidRDefault="004F453F" w:rsidP="002F27A9">
            <w:pPr>
              <w:pStyle w:val="Tablerow"/>
            </w:pPr>
            <w:r w:rsidRPr="00F90D20">
              <w:t>74%</w:t>
            </w:r>
          </w:p>
        </w:tc>
        <w:tc>
          <w:tcPr>
            <w:tcW w:w="1061" w:type="dxa"/>
            <w:hideMark/>
          </w:tcPr>
          <w:p w:rsidR="004F453F" w:rsidRPr="00F90D20" w:rsidRDefault="004F453F" w:rsidP="002F27A9">
            <w:pPr>
              <w:pStyle w:val="Tablerow"/>
            </w:pPr>
            <w:r w:rsidRPr="00F90D20">
              <w:t>27</w:t>
            </w:r>
          </w:p>
        </w:tc>
        <w:tc>
          <w:tcPr>
            <w:tcW w:w="1060" w:type="dxa"/>
          </w:tcPr>
          <w:p w:rsidR="004F453F" w:rsidRPr="00F90D20" w:rsidRDefault="004F453F" w:rsidP="002F27A9">
            <w:pPr>
              <w:pStyle w:val="Tablerow"/>
            </w:pPr>
            <w:r w:rsidRPr="00F90D20">
              <w:t>133</w:t>
            </w:r>
          </w:p>
        </w:tc>
        <w:tc>
          <w:tcPr>
            <w:tcW w:w="1060" w:type="dxa"/>
          </w:tcPr>
          <w:p w:rsidR="004F453F" w:rsidRPr="00F90D20" w:rsidRDefault="004F453F" w:rsidP="002F27A9">
            <w:pPr>
              <w:pStyle w:val="Tablerow"/>
            </w:pPr>
            <w:r w:rsidRPr="00F90D20">
              <w:t>95</w:t>
            </w:r>
          </w:p>
        </w:tc>
        <w:tc>
          <w:tcPr>
            <w:tcW w:w="1061" w:type="dxa"/>
          </w:tcPr>
          <w:p w:rsidR="004F453F" w:rsidRPr="00F90D20" w:rsidRDefault="004F453F" w:rsidP="002F27A9">
            <w:pPr>
              <w:pStyle w:val="Tablerow"/>
            </w:pPr>
            <w:r w:rsidRPr="00F90D20">
              <w:t>545</w:t>
            </w:r>
          </w:p>
        </w:tc>
      </w:tr>
      <w:tr w:rsidR="004F453F" w:rsidRPr="00F90D20" w:rsidTr="00B73093">
        <w:trPr>
          <w:trHeight w:val="67"/>
        </w:trPr>
        <w:tc>
          <w:tcPr>
            <w:tcW w:w="1066" w:type="dxa"/>
            <w:hideMark/>
          </w:tcPr>
          <w:p w:rsidR="004F453F" w:rsidRPr="00F90D20" w:rsidRDefault="004F453F" w:rsidP="002F27A9">
            <w:pPr>
              <w:pStyle w:val="Tablerow"/>
            </w:pPr>
            <w:r w:rsidRPr="00F90D20">
              <w:t>35 to 39</w:t>
            </w:r>
          </w:p>
        </w:tc>
        <w:tc>
          <w:tcPr>
            <w:tcW w:w="1060" w:type="dxa"/>
            <w:hideMark/>
          </w:tcPr>
          <w:p w:rsidR="004F453F" w:rsidRPr="00F90D20" w:rsidRDefault="004F453F" w:rsidP="002F27A9">
            <w:pPr>
              <w:pStyle w:val="Tablerow"/>
            </w:pPr>
            <w:r w:rsidRPr="00F90D20">
              <w:t>218</w:t>
            </w:r>
          </w:p>
        </w:tc>
        <w:tc>
          <w:tcPr>
            <w:tcW w:w="1101" w:type="dxa"/>
            <w:hideMark/>
          </w:tcPr>
          <w:p w:rsidR="004F453F" w:rsidRPr="00F90D20" w:rsidRDefault="004F453F" w:rsidP="002F27A9">
            <w:pPr>
              <w:pStyle w:val="Tablerow"/>
            </w:pPr>
            <w:r w:rsidRPr="00F90D20">
              <w:t>87%</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34</w:t>
            </w:r>
          </w:p>
        </w:tc>
        <w:tc>
          <w:tcPr>
            <w:tcW w:w="1060" w:type="dxa"/>
            <w:hideMark/>
          </w:tcPr>
          <w:p w:rsidR="004F453F" w:rsidRPr="00F90D20" w:rsidRDefault="004F453F" w:rsidP="002F27A9">
            <w:pPr>
              <w:pStyle w:val="Tablerow"/>
            </w:pPr>
            <w:r w:rsidRPr="00F90D20">
              <w:t>32</w:t>
            </w:r>
          </w:p>
        </w:tc>
        <w:tc>
          <w:tcPr>
            <w:tcW w:w="1060" w:type="dxa"/>
            <w:hideMark/>
          </w:tcPr>
          <w:p w:rsidR="004F453F" w:rsidRPr="00F90D20" w:rsidRDefault="004F453F" w:rsidP="002F27A9">
            <w:pPr>
              <w:pStyle w:val="Tablerow"/>
            </w:pPr>
            <w:r w:rsidRPr="00F90D20">
              <w:t>201</w:t>
            </w:r>
          </w:p>
        </w:tc>
        <w:tc>
          <w:tcPr>
            <w:tcW w:w="1061" w:type="dxa"/>
            <w:hideMark/>
          </w:tcPr>
          <w:p w:rsidR="004F453F" w:rsidRPr="00F90D20" w:rsidRDefault="004F453F" w:rsidP="002F27A9">
            <w:pPr>
              <w:pStyle w:val="Tablerow"/>
            </w:pPr>
            <w:r w:rsidRPr="00F90D20">
              <w:t>145</w:t>
            </w:r>
          </w:p>
        </w:tc>
        <w:tc>
          <w:tcPr>
            <w:tcW w:w="1060" w:type="dxa"/>
            <w:hideMark/>
          </w:tcPr>
          <w:p w:rsidR="004F453F" w:rsidRPr="00F90D20" w:rsidRDefault="004F453F" w:rsidP="002F27A9">
            <w:pPr>
              <w:pStyle w:val="Tablerow"/>
            </w:pPr>
            <w:r w:rsidRPr="00F90D20">
              <w:t>919</w:t>
            </w:r>
          </w:p>
        </w:tc>
        <w:tc>
          <w:tcPr>
            <w:tcW w:w="1060" w:type="dxa"/>
            <w:hideMark/>
          </w:tcPr>
          <w:p w:rsidR="004F453F" w:rsidRPr="00F90D20" w:rsidRDefault="004F453F" w:rsidP="002F27A9">
            <w:pPr>
              <w:pStyle w:val="Tablerow"/>
            </w:pPr>
            <w:r w:rsidRPr="00F90D20">
              <w:t>80%</w:t>
            </w:r>
          </w:p>
        </w:tc>
        <w:tc>
          <w:tcPr>
            <w:tcW w:w="1061" w:type="dxa"/>
            <w:hideMark/>
          </w:tcPr>
          <w:p w:rsidR="004F453F" w:rsidRPr="00F90D20" w:rsidRDefault="004F453F" w:rsidP="002F27A9">
            <w:pPr>
              <w:pStyle w:val="Tablerow"/>
            </w:pPr>
            <w:r w:rsidRPr="00F90D20">
              <w:t>28</w:t>
            </w:r>
          </w:p>
        </w:tc>
        <w:tc>
          <w:tcPr>
            <w:tcW w:w="1060" w:type="dxa"/>
          </w:tcPr>
          <w:p w:rsidR="004F453F" w:rsidRPr="00F90D20" w:rsidRDefault="004F453F" w:rsidP="002F27A9">
            <w:pPr>
              <w:pStyle w:val="Tablerow"/>
            </w:pPr>
            <w:r w:rsidRPr="00F90D20">
              <w:t>131</w:t>
            </w:r>
          </w:p>
        </w:tc>
        <w:tc>
          <w:tcPr>
            <w:tcW w:w="1060" w:type="dxa"/>
          </w:tcPr>
          <w:p w:rsidR="004F453F" w:rsidRPr="00F90D20" w:rsidRDefault="004F453F" w:rsidP="002F27A9">
            <w:pPr>
              <w:pStyle w:val="Tablerow"/>
            </w:pPr>
            <w:r w:rsidRPr="00F90D20">
              <w:t>103</w:t>
            </w:r>
          </w:p>
        </w:tc>
        <w:tc>
          <w:tcPr>
            <w:tcW w:w="1061" w:type="dxa"/>
          </w:tcPr>
          <w:p w:rsidR="004F453F" w:rsidRPr="00F90D20" w:rsidRDefault="004F453F" w:rsidP="002F27A9">
            <w:pPr>
              <w:pStyle w:val="Tablerow"/>
            </w:pPr>
            <w:r w:rsidRPr="00F90D20">
              <w:t>598</w:t>
            </w:r>
          </w:p>
        </w:tc>
      </w:tr>
      <w:tr w:rsidR="004F453F" w:rsidRPr="00F90D20" w:rsidTr="00B73093">
        <w:trPr>
          <w:trHeight w:val="67"/>
        </w:trPr>
        <w:tc>
          <w:tcPr>
            <w:tcW w:w="1066" w:type="dxa"/>
            <w:hideMark/>
          </w:tcPr>
          <w:p w:rsidR="004F453F" w:rsidRPr="00F90D20" w:rsidRDefault="004F453F" w:rsidP="002F27A9">
            <w:pPr>
              <w:pStyle w:val="Tablerow"/>
            </w:pPr>
            <w:r w:rsidRPr="00F90D20">
              <w:t>40 to 44</w:t>
            </w:r>
          </w:p>
        </w:tc>
        <w:tc>
          <w:tcPr>
            <w:tcW w:w="1060" w:type="dxa"/>
            <w:hideMark/>
          </w:tcPr>
          <w:p w:rsidR="004F453F" w:rsidRPr="00F90D20" w:rsidRDefault="004F453F" w:rsidP="002F27A9">
            <w:pPr>
              <w:pStyle w:val="Tablerow"/>
            </w:pPr>
            <w:r w:rsidRPr="00F90D20">
              <w:t>205</w:t>
            </w:r>
          </w:p>
        </w:tc>
        <w:tc>
          <w:tcPr>
            <w:tcW w:w="1101" w:type="dxa"/>
            <w:hideMark/>
          </w:tcPr>
          <w:p w:rsidR="004F453F" w:rsidRPr="00F90D20" w:rsidRDefault="004F453F" w:rsidP="002F27A9">
            <w:pPr>
              <w:pStyle w:val="Tablerow"/>
            </w:pPr>
            <w:r w:rsidRPr="00F90D20">
              <w:t>86%</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33</w:t>
            </w:r>
          </w:p>
        </w:tc>
        <w:tc>
          <w:tcPr>
            <w:tcW w:w="1060" w:type="dxa"/>
            <w:hideMark/>
          </w:tcPr>
          <w:p w:rsidR="004F453F" w:rsidRPr="00F90D20" w:rsidRDefault="004F453F" w:rsidP="002F27A9">
            <w:pPr>
              <w:pStyle w:val="Tablerow"/>
            </w:pPr>
            <w:r w:rsidRPr="00F90D20">
              <w:t>30</w:t>
            </w:r>
          </w:p>
        </w:tc>
        <w:tc>
          <w:tcPr>
            <w:tcW w:w="1060" w:type="dxa"/>
            <w:hideMark/>
          </w:tcPr>
          <w:p w:rsidR="004F453F" w:rsidRPr="00F90D20" w:rsidRDefault="004F453F" w:rsidP="002F27A9">
            <w:pPr>
              <w:pStyle w:val="Tablerow"/>
            </w:pPr>
            <w:r w:rsidRPr="00F90D20">
              <w:t>185</w:t>
            </w:r>
          </w:p>
        </w:tc>
        <w:tc>
          <w:tcPr>
            <w:tcW w:w="1061" w:type="dxa"/>
            <w:hideMark/>
          </w:tcPr>
          <w:p w:rsidR="004F453F" w:rsidRPr="00F90D20" w:rsidRDefault="004F453F" w:rsidP="002F27A9">
            <w:pPr>
              <w:pStyle w:val="Tablerow"/>
            </w:pPr>
            <w:r w:rsidRPr="00F90D20">
              <w:t>145</w:t>
            </w:r>
          </w:p>
        </w:tc>
        <w:tc>
          <w:tcPr>
            <w:tcW w:w="1060" w:type="dxa"/>
            <w:hideMark/>
          </w:tcPr>
          <w:p w:rsidR="004F453F" w:rsidRPr="00F90D20" w:rsidRDefault="004F453F" w:rsidP="002F27A9">
            <w:pPr>
              <w:pStyle w:val="Tablerow"/>
            </w:pPr>
            <w:r w:rsidRPr="00F90D20">
              <w:t>899</w:t>
            </w:r>
          </w:p>
        </w:tc>
        <w:tc>
          <w:tcPr>
            <w:tcW w:w="1060" w:type="dxa"/>
            <w:hideMark/>
          </w:tcPr>
          <w:p w:rsidR="004F453F" w:rsidRPr="00F90D20" w:rsidRDefault="004F453F" w:rsidP="002F27A9">
            <w:pPr>
              <w:pStyle w:val="Tablerow"/>
            </w:pPr>
            <w:r w:rsidRPr="00F90D20">
              <w:t>83%</w:t>
            </w:r>
          </w:p>
        </w:tc>
        <w:tc>
          <w:tcPr>
            <w:tcW w:w="1061" w:type="dxa"/>
            <w:hideMark/>
          </w:tcPr>
          <w:p w:rsidR="004F453F" w:rsidRPr="00F90D20" w:rsidRDefault="004F453F" w:rsidP="002F27A9">
            <w:pPr>
              <w:pStyle w:val="Tablerow"/>
            </w:pPr>
            <w:r w:rsidRPr="00F90D20">
              <w:t>28</w:t>
            </w:r>
          </w:p>
        </w:tc>
        <w:tc>
          <w:tcPr>
            <w:tcW w:w="1060" w:type="dxa"/>
          </w:tcPr>
          <w:p w:rsidR="004F453F" w:rsidRPr="00F90D20" w:rsidRDefault="004F453F" w:rsidP="002F27A9">
            <w:pPr>
              <w:pStyle w:val="Tablerow"/>
            </w:pPr>
            <w:r w:rsidRPr="00F90D20">
              <w:t>123</w:t>
            </w:r>
          </w:p>
        </w:tc>
        <w:tc>
          <w:tcPr>
            <w:tcW w:w="1060" w:type="dxa"/>
          </w:tcPr>
          <w:p w:rsidR="004F453F" w:rsidRPr="00F90D20" w:rsidRDefault="004F453F" w:rsidP="002F27A9">
            <w:pPr>
              <w:pStyle w:val="Tablerow"/>
            </w:pPr>
            <w:r w:rsidRPr="00F90D20">
              <w:t>104</w:t>
            </w:r>
          </w:p>
        </w:tc>
        <w:tc>
          <w:tcPr>
            <w:tcW w:w="1061" w:type="dxa"/>
          </w:tcPr>
          <w:p w:rsidR="004F453F" w:rsidRPr="00F90D20" w:rsidRDefault="004F453F" w:rsidP="002F27A9">
            <w:pPr>
              <w:pStyle w:val="Tablerow"/>
            </w:pPr>
            <w:r w:rsidRPr="00F90D20">
              <w:t>597</w:t>
            </w:r>
          </w:p>
        </w:tc>
      </w:tr>
      <w:tr w:rsidR="004F453F" w:rsidRPr="00F90D20" w:rsidTr="00B73093">
        <w:trPr>
          <w:trHeight w:val="175"/>
        </w:trPr>
        <w:tc>
          <w:tcPr>
            <w:tcW w:w="1066" w:type="dxa"/>
            <w:hideMark/>
          </w:tcPr>
          <w:p w:rsidR="004F453F" w:rsidRPr="00F90D20" w:rsidRDefault="004F453F" w:rsidP="002F27A9">
            <w:pPr>
              <w:pStyle w:val="Tablerow"/>
            </w:pPr>
            <w:r w:rsidRPr="00F90D20">
              <w:t>45 to 49</w:t>
            </w:r>
          </w:p>
        </w:tc>
        <w:tc>
          <w:tcPr>
            <w:tcW w:w="1060" w:type="dxa"/>
            <w:hideMark/>
          </w:tcPr>
          <w:p w:rsidR="004F453F" w:rsidRPr="00F90D20" w:rsidRDefault="004F453F" w:rsidP="002F27A9">
            <w:pPr>
              <w:pStyle w:val="Tablerow"/>
            </w:pPr>
            <w:r w:rsidRPr="00F90D20">
              <w:t>206</w:t>
            </w:r>
          </w:p>
        </w:tc>
        <w:tc>
          <w:tcPr>
            <w:tcW w:w="1101" w:type="dxa"/>
            <w:hideMark/>
          </w:tcPr>
          <w:p w:rsidR="004F453F" w:rsidRPr="00F90D20" w:rsidRDefault="004F453F" w:rsidP="002F27A9">
            <w:pPr>
              <w:pStyle w:val="Tablerow"/>
            </w:pPr>
            <w:r w:rsidRPr="00F90D20">
              <w:t>81%</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31</w:t>
            </w:r>
          </w:p>
        </w:tc>
        <w:tc>
          <w:tcPr>
            <w:tcW w:w="1060" w:type="dxa"/>
            <w:hideMark/>
          </w:tcPr>
          <w:p w:rsidR="004F453F" w:rsidRPr="00F90D20" w:rsidRDefault="004F453F" w:rsidP="002F27A9">
            <w:pPr>
              <w:pStyle w:val="Tablerow"/>
            </w:pPr>
            <w:r w:rsidRPr="00F90D20">
              <w:t>27</w:t>
            </w:r>
          </w:p>
        </w:tc>
        <w:tc>
          <w:tcPr>
            <w:tcW w:w="1060" w:type="dxa"/>
            <w:hideMark/>
          </w:tcPr>
          <w:p w:rsidR="004F453F" w:rsidRPr="00F90D20" w:rsidRDefault="004F453F" w:rsidP="002F27A9">
            <w:pPr>
              <w:pStyle w:val="Tablerow"/>
            </w:pPr>
            <w:r w:rsidRPr="00F90D20">
              <w:t>159</w:t>
            </w:r>
          </w:p>
        </w:tc>
        <w:tc>
          <w:tcPr>
            <w:tcW w:w="1061" w:type="dxa"/>
            <w:hideMark/>
          </w:tcPr>
          <w:p w:rsidR="004F453F" w:rsidRPr="00F90D20" w:rsidRDefault="004F453F" w:rsidP="002F27A9">
            <w:pPr>
              <w:pStyle w:val="Tablerow"/>
            </w:pPr>
            <w:r w:rsidRPr="00F90D20">
              <w:t>134</w:t>
            </w:r>
          </w:p>
        </w:tc>
        <w:tc>
          <w:tcPr>
            <w:tcW w:w="1060" w:type="dxa"/>
            <w:hideMark/>
          </w:tcPr>
          <w:p w:rsidR="004F453F" w:rsidRPr="00F90D20" w:rsidRDefault="004F453F" w:rsidP="002F27A9">
            <w:pPr>
              <w:pStyle w:val="Tablerow"/>
            </w:pPr>
            <w:r w:rsidRPr="00F90D20">
              <w:t>775</w:t>
            </w:r>
          </w:p>
        </w:tc>
        <w:tc>
          <w:tcPr>
            <w:tcW w:w="1060" w:type="dxa"/>
            <w:hideMark/>
          </w:tcPr>
          <w:p w:rsidR="004F453F" w:rsidRPr="00F90D20" w:rsidRDefault="004F453F" w:rsidP="002F27A9">
            <w:pPr>
              <w:pStyle w:val="Tablerow"/>
            </w:pPr>
            <w:r w:rsidRPr="00F90D20">
              <w:t>83%</w:t>
            </w:r>
          </w:p>
        </w:tc>
        <w:tc>
          <w:tcPr>
            <w:tcW w:w="1061" w:type="dxa"/>
            <w:hideMark/>
          </w:tcPr>
          <w:p w:rsidR="004F453F" w:rsidRPr="00F90D20" w:rsidRDefault="004F453F" w:rsidP="002F27A9">
            <w:pPr>
              <w:pStyle w:val="Tablerow"/>
            </w:pPr>
            <w:r w:rsidRPr="00F90D20">
              <w:t>26</w:t>
            </w:r>
          </w:p>
        </w:tc>
        <w:tc>
          <w:tcPr>
            <w:tcW w:w="1060" w:type="dxa"/>
          </w:tcPr>
          <w:p w:rsidR="004F453F" w:rsidRPr="00F90D20" w:rsidRDefault="004F453F" w:rsidP="002F27A9">
            <w:pPr>
              <w:pStyle w:val="Tablerow"/>
            </w:pPr>
            <w:r w:rsidRPr="00F90D20">
              <w:t>103</w:t>
            </w:r>
          </w:p>
        </w:tc>
        <w:tc>
          <w:tcPr>
            <w:tcW w:w="1060" w:type="dxa"/>
          </w:tcPr>
          <w:p w:rsidR="004F453F" w:rsidRPr="00F90D20" w:rsidRDefault="004F453F" w:rsidP="002F27A9">
            <w:pPr>
              <w:pStyle w:val="Tablerow"/>
            </w:pPr>
            <w:r w:rsidRPr="00F90D20">
              <w:t>93</w:t>
            </w:r>
          </w:p>
        </w:tc>
        <w:tc>
          <w:tcPr>
            <w:tcW w:w="1061" w:type="dxa"/>
          </w:tcPr>
          <w:p w:rsidR="004F453F" w:rsidRPr="00F90D20" w:rsidRDefault="004F453F" w:rsidP="002F27A9">
            <w:pPr>
              <w:pStyle w:val="Tablerow"/>
            </w:pPr>
            <w:r w:rsidRPr="00F90D20">
              <w:t>501</w:t>
            </w:r>
          </w:p>
        </w:tc>
      </w:tr>
      <w:tr w:rsidR="004F453F" w:rsidRPr="00F90D20" w:rsidTr="00B73093">
        <w:trPr>
          <w:trHeight w:val="67"/>
        </w:trPr>
        <w:tc>
          <w:tcPr>
            <w:tcW w:w="1066" w:type="dxa"/>
            <w:hideMark/>
          </w:tcPr>
          <w:p w:rsidR="004F453F" w:rsidRPr="00F90D20" w:rsidRDefault="004F453F" w:rsidP="002F27A9">
            <w:pPr>
              <w:pStyle w:val="Tablerow"/>
            </w:pPr>
            <w:r w:rsidRPr="00F90D20">
              <w:t>50 to 54</w:t>
            </w:r>
          </w:p>
        </w:tc>
        <w:tc>
          <w:tcPr>
            <w:tcW w:w="1060" w:type="dxa"/>
            <w:hideMark/>
          </w:tcPr>
          <w:p w:rsidR="004F453F" w:rsidRPr="00F90D20" w:rsidRDefault="004F453F" w:rsidP="002F27A9">
            <w:pPr>
              <w:pStyle w:val="Tablerow"/>
            </w:pPr>
            <w:r w:rsidRPr="00F90D20">
              <w:t>190</w:t>
            </w:r>
          </w:p>
        </w:tc>
        <w:tc>
          <w:tcPr>
            <w:tcW w:w="1101" w:type="dxa"/>
            <w:hideMark/>
          </w:tcPr>
          <w:p w:rsidR="004F453F" w:rsidRPr="00F90D20" w:rsidRDefault="004F453F" w:rsidP="002F27A9">
            <w:pPr>
              <w:pStyle w:val="Tablerow"/>
            </w:pPr>
            <w:r w:rsidRPr="00F90D20">
              <w:t>82%</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32</w:t>
            </w:r>
          </w:p>
        </w:tc>
        <w:tc>
          <w:tcPr>
            <w:tcW w:w="1060" w:type="dxa"/>
            <w:hideMark/>
          </w:tcPr>
          <w:p w:rsidR="004F453F" w:rsidRPr="00F90D20" w:rsidRDefault="004F453F" w:rsidP="002F27A9">
            <w:pPr>
              <w:pStyle w:val="Tablerow"/>
            </w:pPr>
            <w:r w:rsidRPr="00F90D20">
              <w:t>31</w:t>
            </w:r>
          </w:p>
        </w:tc>
        <w:tc>
          <w:tcPr>
            <w:tcW w:w="1060" w:type="dxa"/>
            <w:hideMark/>
          </w:tcPr>
          <w:p w:rsidR="004F453F" w:rsidRPr="00F90D20" w:rsidRDefault="004F453F" w:rsidP="002F27A9">
            <w:pPr>
              <w:pStyle w:val="Tablerow"/>
            </w:pPr>
            <w:r w:rsidRPr="00F90D20">
              <w:t>178</w:t>
            </w:r>
          </w:p>
        </w:tc>
        <w:tc>
          <w:tcPr>
            <w:tcW w:w="1061" w:type="dxa"/>
            <w:hideMark/>
          </w:tcPr>
          <w:p w:rsidR="004F453F" w:rsidRPr="00F90D20" w:rsidRDefault="004F453F" w:rsidP="002F27A9">
            <w:pPr>
              <w:pStyle w:val="Tablerow"/>
            </w:pPr>
            <w:r w:rsidRPr="00F90D20">
              <w:t>164</w:t>
            </w:r>
          </w:p>
        </w:tc>
        <w:tc>
          <w:tcPr>
            <w:tcW w:w="1060" w:type="dxa"/>
            <w:hideMark/>
          </w:tcPr>
          <w:p w:rsidR="004F453F" w:rsidRPr="00F90D20" w:rsidRDefault="004F453F" w:rsidP="002F27A9">
            <w:pPr>
              <w:pStyle w:val="Tablerow"/>
            </w:pPr>
            <w:r w:rsidRPr="00F90D20">
              <w:t>936</w:t>
            </w:r>
          </w:p>
        </w:tc>
        <w:tc>
          <w:tcPr>
            <w:tcW w:w="1060" w:type="dxa"/>
            <w:hideMark/>
          </w:tcPr>
          <w:p w:rsidR="004F453F" w:rsidRPr="00F90D20" w:rsidRDefault="004F453F" w:rsidP="002F27A9">
            <w:pPr>
              <w:pStyle w:val="Tablerow"/>
            </w:pPr>
            <w:r w:rsidRPr="00F90D20">
              <w:t>82%</w:t>
            </w:r>
          </w:p>
        </w:tc>
        <w:tc>
          <w:tcPr>
            <w:tcW w:w="1061" w:type="dxa"/>
            <w:hideMark/>
          </w:tcPr>
          <w:p w:rsidR="004F453F" w:rsidRPr="00F90D20" w:rsidRDefault="004F453F" w:rsidP="002F27A9">
            <w:pPr>
              <w:pStyle w:val="Tablerow"/>
            </w:pPr>
            <w:r w:rsidRPr="00F90D20">
              <w:t>26</w:t>
            </w:r>
          </w:p>
        </w:tc>
        <w:tc>
          <w:tcPr>
            <w:tcW w:w="1060" w:type="dxa"/>
          </w:tcPr>
          <w:p w:rsidR="004F453F" w:rsidRPr="00F90D20" w:rsidRDefault="004F453F" w:rsidP="002F27A9">
            <w:pPr>
              <w:pStyle w:val="Tablerow"/>
            </w:pPr>
            <w:r w:rsidRPr="00F90D20">
              <w:t>113</w:t>
            </w:r>
          </w:p>
        </w:tc>
        <w:tc>
          <w:tcPr>
            <w:tcW w:w="1060" w:type="dxa"/>
          </w:tcPr>
          <w:p w:rsidR="004F453F" w:rsidRPr="00F90D20" w:rsidRDefault="004F453F" w:rsidP="002F27A9">
            <w:pPr>
              <w:pStyle w:val="Tablerow"/>
            </w:pPr>
            <w:r w:rsidRPr="00F90D20">
              <w:t>115</w:t>
            </w:r>
          </w:p>
        </w:tc>
        <w:tc>
          <w:tcPr>
            <w:tcW w:w="1061" w:type="dxa"/>
          </w:tcPr>
          <w:p w:rsidR="004F453F" w:rsidRPr="00F90D20" w:rsidRDefault="004F453F" w:rsidP="002F27A9">
            <w:pPr>
              <w:pStyle w:val="Tablerow"/>
            </w:pPr>
            <w:r w:rsidRPr="00F90D20">
              <w:t>594</w:t>
            </w:r>
          </w:p>
        </w:tc>
      </w:tr>
      <w:tr w:rsidR="004F453F" w:rsidRPr="00F90D20" w:rsidTr="00B73093">
        <w:trPr>
          <w:trHeight w:val="67"/>
        </w:trPr>
        <w:tc>
          <w:tcPr>
            <w:tcW w:w="1066" w:type="dxa"/>
            <w:hideMark/>
          </w:tcPr>
          <w:p w:rsidR="004F453F" w:rsidRPr="00F90D20" w:rsidRDefault="004F453F" w:rsidP="002F27A9">
            <w:pPr>
              <w:pStyle w:val="Tablerow"/>
            </w:pPr>
            <w:r w:rsidRPr="00F90D20">
              <w:t>55 to 59</w:t>
            </w:r>
          </w:p>
        </w:tc>
        <w:tc>
          <w:tcPr>
            <w:tcW w:w="1060" w:type="dxa"/>
            <w:hideMark/>
          </w:tcPr>
          <w:p w:rsidR="004F453F" w:rsidRPr="00F90D20" w:rsidRDefault="004F453F" w:rsidP="002F27A9">
            <w:pPr>
              <w:pStyle w:val="Tablerow"/>
            </w:pPr>
            <w:r w:rsidRPr="00F90D20">
              <w:t>183</w:t>
            </w:r>
          </w:p>
        </w:tc>
        <w:tc>
          <w:tcPr>
            <w:tcW w:w="1101" w:type="dxa"/>
            <w:hideMark/>
          </w:tcPr>
          <w:p w:rsidR="004F453F" w:rsidRPr="00F90D20" w:rsidRDefault="004F453F" w:rsidP="002F27A9">
            <w:pPr>
              <w:pStyle w:val="Tablerow"/>
            </w:pPr>
            <w:r w:rsidRPr="00F90D20">
              <w:t>79%</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31</w:t>
            </w:r>
          </w:p>
        </w:tc>
        <w:tc>
          <w:tcPr>
            <w:tcW w:w="1060" w:type="dxa"/>
            <w:hideMark/>
          </w:tcPr>
          <w:p w:rsidR="004F453F" w:rsidRPr="00F90D20" w:rsidRDefault="004F453F" w:rsidP="002F27A9">
            <w:pPr>
              <w:pStyle w:val="Tablerow"/>
            </w:pPr>
            <w:r w:rsidRPr="00F90D20">
              <w:t>30</w:t>
            </w:r>
          </w:p>
        </w:tc>
        <w:tc>
          <w:tcPr>
            <w:tcW w:w="1060" w:type="dxa"/>
            <w:hideMark/>
          </w:tcPr>
          <w:p w:rsidR="004F453F" w:rsidRPr="00F90D20" w:rsidRDefault="004F453F" w:rsidP="002F27A9">
            <w:pPr>
              <w:pStyle w:val="Tablerow"/>
            </w:pPr>
            <w:r w:rsidRPr="00F90D20">
              <w:t>150</w:t>
            </w:r>
          </w:p>
        </w:tc>
        <w:tc>
          <w:tcPr>
            <w:tcW w:w="1061" w:type="dxa"/>
            <w:hideMark/>
          </w:tcPr>
          <w:p w:rsidR="004F453F" w:rsidRPr="00F90D20" w:rsidRDefault="004F453F" w:rsidP="002F27A9">
            <w:pPr>
              <w:pStyle w:val="Tablerow"/>
            </w:pPr>
            <w:r w:rsidRPr="00F90D20">
              <w:t>163</w:t>
            </w:r>
          </w:p>
        </w:tc>
        <w:tc>
          <w:tcPr>
            <w:tcW w:w="1060" w:type="dxa"/>
            <w:hideMark/>
          </w:tcPr>
          <w:p w:rsidR="004F453F" w:rsidRPr="00F90D20" w:rsidRDefault="004F453F" w:rsidP="002F27A9">
            <w:pPr>
              <w:pStyle w:val="Tablerow"/>
            </w:pPr>
            <w:r w:rsidRPr="00F90D20">
              <w:t>821</w:t>
            </w:r>
          </w:p>
        </w:tc>
        <w:tc>
          <w:tcPr>
            <w:tcW w:w="1060" w:type="dxa"/>
            <w:hideMark/>
          </w:tcPr>
          <w:p w:rsidR="004F453F" w:rsidRPr="00F90D20" w:rsidRDefault="004F453F" w:rsidP="002F27A9">
            <w:pPr>
              <w:pStyle w:val="Tablerow"/>
            </w:pPr>
            <w:r w:rsidRPr="00F90D20">
              <w:t>85%</w:t>
            </w:r>
          </w:p>
        </w:tc>
        <w:tc>
          <w:tcPr>
            <w:tcW w:w="1061" w:type="dxa"/>
            <w:hideMark/>
          </w:tcPr>
          <w:p w:rsidR="004F453F" w:rsidRPr="00F90D20" w:rsidRDefault="004F453F" w:rsidP="002F27A9">
            <w:pPr>
              <w:pStyle w:val="Tablerow"/>
            </w:pPr>
            <w:r w:rsidRPr="00F90D20">
              <w:t>26</w:t>
            </w:r>
          </w:p>
        </w:tc>
        <w:tc>
          <w:tcPr>
            <w:tcW w:w="1060" w:type="dxa"/>
          </w:tcPr>
          <w:p w:rsidR="004F453F" w:rsidRPr="00F90D20" w:rsidRDefault="004F453F" w:rsidP="002F27A9">
            <w:pPr>
              <w:pStyle w:val="Tablerow"/>
            </w:pPr>
            <w:r w:rsidRPr="00F90D20">
              <w:t>99</w:t>
            </w:r>
          </w:p>
        </w:tc>
        <w:tc>
          <w:tcPr>
            <w:tcW w:w="1060" w:type="dxa"/>
          </w:tcPr>
          <w:p w:rsidR="004F453F" w:rsidRPr="00F90D20" w:rsidRDefault="004F453F" w:rsidP="002F27A9">
            <w:pPr>
              <w:pStyle w:val="Tablerow"/>
            </w:pPr>
            <w:r w:rsidRPr="00F90D20">
              <w:t>113</w:t>
            </w:r>
          </w:p>
        </w:tc>
        <w:tc>
          <w:tcPr>
            <w:tcW w:w="1061" w:type="dxa"/>
          </w:tcPr>
          <w:p w:rsidR="004F453F" w:rsidRPr="00F90D20" w:rsidRDefault="004F453F" w:rsidP="002F27A9">
            <w:pPr>
              <w:pStyle w:val="Tablerow"/>
            </w:pPr>
            <w:r w:rsidRPr="00F90D20">
              <w:t>544</w:t>
            </w:r>
          </w:p>
        </w:tc>
      </w:tr>
      <w:tr w:rsidR="004F453F" w:rsidRPr="00F90D20" w:rsidTr="00B73093">
        <w:trPr>
          <w:trHeight w:val="67"/>
        </w:trPr>
        <w:tc>
          <w:tcPr>
            <w:tcW w:w="1066" w:type="dxa"/>
            <w:hideMark/>
          </w:tcPr>
          <w:p w:rsidR="004F453F" w:rsidRPr="00F90D20" w:rsidRDefault="004F453F" w:rsidP="002F27A9">
            <w:pPr>
              <w:pStyle w:val="Tablerow"/>
            </w:pPr>
            <w:r w:rsidRPr="00F90D20">
              <w:t>60 to 64</w:t>
            </w:r>
          </w:p>
        </w:tc>
        <w:tc>
          <w:tcPr>
            <w:tcW w:w="1060" w:type="dxa"/>
            <w:hideMark/>
          </w:tcPr>
          <w:p w:rsidR="004F453F" w:rsidRPr="00F90D20" w:rsidRDefault="004F453F" w:rsidP="002F27A9">
            <w:pPr>
              <w:pStyle w:val="Tablerow"/>
            </w:pPr>
            <w:r w:rsidRPr="00F90D20">
              <w:t>161</w:t>
            </w:r>
          </w:p>
        </w:tc>
        <w:tc>
          <w:tcPr>
            <w:tcW w:w="1101" w:type="dxa"/>
            <w:hideMark/>
          </w:tcPr>
          <w:p w:rsidR="004F453F" w:rsidRPr="00F90D20" w:rsidRDefault="004F453F" w:rsidP="002F27A9">
            <w:pPr>
              <w:pStyle w:val="Tablerow"/>
            </w:pPr>
            <w:r w:rsidRPr="00F90D20">
              <w:t>77%</w:t>
            </w:r>
          </w:p>
        </w:tc>
        <w:tc>
          <w:tcPr>
            <w:tcW w:w="1019" w:type="dxa"/>
            <w:hideMark/>
          </w:tcPr>
          <w:p w:rsidR="004F453F" w:rsidRPr="00F90D20" w:rsidRDefault="004F453F" w:rsidP="002F27A9">
            <w:pPr>
              <w:pStyle w:val="Tablerow"/>
            </w:pPr>
            <w:r w:rsidRPr="00F90D20">
              <w:t>49%</w:t>
            </w:r>
          </w:p>
        </w:tc>
        <w:tc>
          <w:tcPr>
            <w:tcW w:w="1061" w:type="dxa"/>
            <w:hideMark/>
          </w:tcPr>
          <w:p w:rsidR="004F453F" w:rsidRPr="00F90D20" w:rsidRDefault="004F453F" w:rsidP="002F27A9">
            <w:pPr>
              <w:pStyle w:val="Tablerow"/>
            </w:pPr>
            <w:r w:rsidRPr="00F90D20">
              <w:t>26</w:t>
            </w:r>
          </w:p>
        </w:tc>
        <w:tc>
          <w:tcPr>
            <w:tcW w:w="1060" w:type="dxa"/>
            <w:hideMark/>
          </w:tcPr>
          <w:p w:rsidR="004F453F" w:rsidRPr="00F90D20" w:rsidRDefault="004F453F" w:rsidP="002F27A9">
            <w:pPr>
              <w:pStyle w:val="Tablerow"/>
            </w:pPr>
            <w:r w:rsidRPr="00F90D20">
              <w:t>27</w:t>
            </w:r>
          </w:p>
        </w:tc>
        <w:tc>
          <w:tcPr>
            <w:tcW w:w="1060" w:type="dxa"/>
            <w:hideMark/>
          </w:tcPr>
          <w:p w:rsidR="004F453F" w:rsidRPr="00F90D20" w:rsidRDefault="004F453F" w:rsidP="002F27A9">
            <w:pPr>
              <w:pStyle w:val="Tablerow"/>
            </w:pPr>
            <w:r w:rsidRPr="00F90D20">
              <w:t>129</w:t>
            </w:r>
          </w:p>
        </w:tc>
        <w:tc>
          <w:tcPr>
            <w:tcW w:w="1061" w:type="dxa"/>
            <w:hideMark/>
          </w:tcPr>
          <w:p w:rsidR="004F453F" w:rsidRPr="00F90D20" w:rsidRDefault="004F453F" w:rsidP="002F27A9">
            <w:pPr>
              <w:pStyle w:val="Tablerow"/>
            </w:pPr>
            <w:r w:rsidRPr="00F90D20">
              <w:t>166</w:t>
            </w:r>
          </w:p>
        </w:tc>
        <w:tc>
          <w:tcPr>
            <w:tcW w:w="1060" w:type="dxa"/>
            <w:hideMark/>
          </w:tcPr>
          <w:p w:rsidR="004F453F" w:rsidRPr="00F90D20" w:rsidRDefault="004F453F" w:rsidP="002F27A9">
            <w:pPr>
              <w:pStyle w:val="Tablerow"/>
            </w:pPr>
            <w:r w:rsidRPr="00F90D20">
              <w:t>799</w:t>
            </w:r>
          </w:p>
        </w:tc>
        <w:tc>
          <w:tcPr>
            <w:tcW w:w="1060" w:type="dxa"/>
            <w:hideMark/>
          </w:tcPr>
          <w:p w:rsidR="004F453F" w:rsidRPr="00F90D20" w:rsidRDefault="004F453F" w:rsidP="002F27A9">
            <w:pPr>
              <w:pStyle w:val="Tablerow"/>
            </w:pPr>
            <w:r w:rsidRPr="00F90D20">
              <w:t>86%</w:t>
            </w:r>
          </w:p>
        </w:tc>
        <w:tc>
          <w:tcPr>
            <w:tcW w:w="1061" w:type="dxa"/>
            <w:hideMark/>
          </w:tcPr>
          <w:p w:rsidR="004F453F" w:rsidRPr="00F90D20" w:rsidRDefault="004F453F" w:rsidP="002F27A9">
            <w:pPr>
              <w:pStyle w:val="Tablerow"/>
            </w:pPr>
            <w:r w:rsidRPr="00F90D20">
              <w:t>23</w:t>
            </w:r>
          </w:p>
        </w:tc>
        <w:tc>
          <w:tcPr>
            <w:tcW w:w="1060" w:type="dxa"/>
          </w:tcPr>
          <w:p w:rsidR="004F453F" w:rsidRPr="00F90D20" w:rsidRDefault="004F453F" w:rsidP="002F27A9">
            <w:pPr>
              <w:pStyle w:val="Tablerow"/>
            </w:pPr>
            <w:r w:rsidRPr="00F90D20">
              <w:t>83</w:t>
            </w:r>
          </w:p>
        </w:tc>
        <w:tc>
          <w:tcPr>
            <w:tcW w:w="1060" w:type="dxa"/>
          </w:tcPr>
          <w:p w:rsidR="004F453F" w:rsidRPr="00F90D20" w:rsidRDefault="004F453F" w:rsidP="002F27A9">
            <w:pPr>
              <w:pStyle w:val="Tablerow"/>
            </w:pPr>
            <w:r w:rsidRPr="00F90D20">
              <w:t>111</w:t>
            </w:r>
          </w:p>
        </w:tc>
        <w:tc>
          <w:tcPr>
            <w:tcW w:w="1061" w:type="dxa"/>
          </w:tcPr>
          <w:p w:rsidR="004F453F" w:rsidRPr="00F90D20" w:rsidRDefault="004F453F" w:rsidP="002F27A9">
            <w:pPr>
              <w:pStyle w:val="Tablerow"/>
            </w:pPr>
            <w:r w:rsidRPr="00F90D20">
              <w:t>518</w:t>
            </w:r>
          </w:p>
        </w:tc>
      </w:tr>
      <w:tr w:rsidR="004F453F" w:rsidRPr="00F90D20" w:rsidTr="00B73093">
        <w:trPr>
          <w:trHeight w:val="79"/>
        </w:trPr>
        <w:tc>
          <w:tcPr>
            <w:tcW w:w="1066" w:type="dxa"/>
            <w:tcBorders>
              <w:bottom w:val="single" w:sz="4" w:space="0" w:color="808080" w:themeColor="background1" w:themeShade="80"/>
            </w:tcBorders>
            <w:hideMark/>
          </w:tcPr>
          <w:p w:rsidR="004F453F" w:rsidRPr="00F90D20" w:rsidRDefault="004F453F" w:rsidP="002F27A9">
            <w:pPr>
              <w:pStyle w:val="Tablerow"/>
            </w:pPr>
            <w:r w:rsidRPr="00F90D20">
              <w:t>65 to 69</w:t>
            </w:r>
          </w:p>
        </w:tc>
        <w:tc>
          <w:tcPr>
            <w:tcW w:w="1060" w:type="dxa"/>
            <w:tcBorders>
              <w:bottom w:val="single" w:sz="4" w:space="0" w:color="808080" w:themeColor="background1" w:themeShade="80"/>
            </w:tcBorders>
            <w:hideMark/>
          </w:tcPr>
          <w:p w:rsidR="004F453F" w:rsidRPr="00F90D20" w:rsidRDefault="004F453F" w:rsidP="002F27A9">
            <w:pPr>
              <w:pStyle w:val="Tablerow"/>
            </w:pPr>
            <w:r w:rsidRPr="00F90D20">
              <w:t>144</w:t>
            </w:r>
          </w:p>
        </w:tc>
        <w:tc>
          <w:tcPr>
            <w:tcW w:w="1101" w:type="dxa"/>
            <w:tcBorders>
              <w:bottom w:val="single" w:sz="4" w:space="0" w:color="808080" w:themeColor="background1" w:themeShade="80"/>
            </w:tcBorders>
            <w:hideMark/>
          </w:tcPr>
          <w:p w:rsidR="004F453F" w:rsidRPr="00F90D20" w:rsidRDefault="004F453F" w:rsidP="002F27A9">
            <w:pPr>
              <w:pStyle w:val="Tablerow"/>
            </w:pPr>
            <w:r w:rsidRPr="00F90D20">
              <w:t>77%</w:t>
            </w:r>
          </w:p>
        </w:tc>
        <w:tc>
          <w:tcPr>
            <w:tcW w:w="1019" w:type="dxa"/>
            <w:tcBorders>
              <w:bottom w:val="single" w:sz="4" w:space="0" w:color="808080" w:themeColor="background1" w:themeShade="80"/>
            </w:tcBorders>
            <w:hideMark/>
          </w:tcPr>
          <w:p w:rsidR="004F453F" w:rsidRPr="00F90D20" w:rsidRDefault="004F453F" w:rsidP="002F27A9">
            <w:pPr>
              <w:pStyle w:val="Tablerow"/>
            </w:pPr>
            <w:r w:rsidRPr="00F90D20">
              <w:t>49%</w:t>
            </w:r>
          </w:p>
        </w:tc>
        <w:tc>
          <w:tcPr>
            <w:tcW w:w="1061" w:type="dxa"/>
            <w:tcBorders>
              <w:bottom w:val="single" w:sz="4" w:space="0" w:color="808080" w:themeColor="background1" w:themeShade="80"/>
            </w:tcBorders>
            <w:hideMark/>
          </w:tcPr>
          <w:p w:rsidR="004F453F" w:rsidRPr="00F90D20" w:rsidRDefault="004F453F" w:rsidP="002F27A9">
            <w:pPr>
              <w:pStyle w:val="Tablerow"/>
            </w:pPr>
            <w:r w:rsidRPr="00F90D20">
              <w:t>26</w:t>
            </w:r>
          </w:p>
        </w:tc>
        <w:tc>
          <w:tcPr>
            <w:tcW w:w="1060" w:type="dxa"/>
            <w:tcBorders>
              <w:bottom w:val="single" w:sz="4" w:space="0" w:color="808080" w:themeColor="background1" w:themeShade="80"/>
            </w:tcBorders>
            <w:hideMark/>
          </w:tcPr>
          <w:p w:rsidR="004F453F" w:rsidRPr="00F90D20" w:rsidRDefault="004F453F" w:rsidP="002F27A9">
            <w:pPr>
              <w:pStyle w:val="Tablerow"/>
            </w:pPr>
            <w:r w:rsidRPr="00F90D20">
              <w:t>29</w:t>
            </w:r>
          </w:p>
        </w:tc>
        <w:tc>
          <w:tcPr>
            <w:tcW w:w="1060" w:type="dxa"/>
            <w:tcBorders>
              <w:bottom w:val="single" w:sz="4" w:space="0" w:color="808080" w:themeColor="background1" w:themeShade="80"/>
            </w:tcBorders>
            <w:hideMark/>
          </w:tcPr>
          <w:p w:rsidR="004F453F" w:rsidRPr="00F90D20" w:rsidRDefault="004F453F" w:rsidP="002F27A9">
            <w:pPr>
              <w:pStyle w:val="Tablerow"/>
            </w:pPr>
            <w:r w:rsidRPr="00F90D20">
              <w:t>137</w:t>
            </w:r>
          </w:p>
        </w:tc>
        <w:tc>
          <w:tcPr>
            <w:tcW w:w="1061" w:type="dxa"/>
            <w:tcBorders>
              <w:bottom w:val="single" w:sz="4" w:space="0" w:color="808080" w:themeColor="background1" w:themeShade="80"/>
            </w:tcBorders>
            <w:hideMark/>
          </w:tcPr>
          <w:p w:rsidR="004F453F" w:rsidRPr="00F90D20" w:rsidRDefault="004F453F" w:rsidP="002F27A9">
            <w:pPr>
              <w:pStyle w:val="Tablerow"/>
            </w:pPr>
            <w:r w:rsidRPr="00F90D20">
              <w:t>204</w:t>
            </w:r>
          </w:p>
        </w:tc>
        <w:tc>
          <w:tcPr>
            <w:tcW w:w="1060" w:type="dxa"/>
            <w:tcBorders>
              <w:bottom w:val="single" w:sz="4" w:space="0" w:color="808080" w:themeColor="background1" w:themeShade="80"/>
            </w:tcBorders>
            <w:hideMark/>
          </w:tcPr>
          <w:p w:rsidR="004F453F" w:rsidRPr="00F90D20" w:rsidRDefault="004F453F" w:rsidP="002F27A9">
            <w:pPr>
              <w:pStyle w:val="Tablerow"/>
            </w:pPr>
            <w:r w:rsidRPr="00F90D20">
              <w:t>956</w:t>
            </w:r>
          </w:p>
        </w:tc>
        <w:tc>
          <w:tcPr>
            <w:tcW w:w="1060" w:type="dxa"/>
            <w:tcBorders>
              <w:bottom w:val="single" w:sz="4" w:space="0" w:color="808080" w:themeColor="background1" w:themeShade="80"/>
            </w:tcBorders>
            <w:hideMark/>
          </w:tcPr>
          <w:p w:rsidR="004F453F" w:rsidRPr="00F90D20" w:rsidRDefault="004F453F" w:rsidP="002F27A9">
            <w:pPr>
              <w:pStyle w:val="Tablerow"/>
            </w:pPr>
            <w:r w:rsidRPr="00F90D20">
              <w:t>84%</w:t>
            </w:r>
          </w:p>
        </w:tc>
        <w:tc>
          <w:tcPr>
            <w:tcW w:w="1061" w:type="dxa"/>
            <w:tcBorders>
              <w:bottom w:val="single" w:sz="4" w:space="0" w:color="808080" w:themeColor="background1" w:themeShade="80"/>
            </w:tcBorders>
            <w:hideMark/>
          </w:tcPr>
          <w:p w:rsidR="004F453F" w:rsidRPr="00F90D20" w:rsidRDefault="004F453F" w:rsidP="002F27A9">
            <w:pPr>
              <w:pStyle w:val="Tablerow"/>
            </w:pPr>
            <w:r w:rsidRPr="00F90D20">
              <w:t>22</w:t>
            </w:r>
          </w:p>
        </w:tc>
        <w:tc>
          <w:tcPr>
            <w:tcW w:w="1060" w:type="dxa"/>
            <w:tcBorders>
              <w:bottom w:val="single" w:sz="4" w:space="0" w:color="808080" w:themeColor="background1" w:themeShade="80"/>
            </w:tcBorders>
          </w:tcPr>
          <w:p w:rsidR="004F453F" w:rsidRPr="00F90D20" w:rsidRDefault="004F453F" w:rsidP="002F27A9">
            <w:pPr>
              <w:pStyle w:val="Tablerow"/>
            </w:pPr>
            <w:r w:rsidRPr="00F90D20">
              <w:t>85</w:t>
            </w:r>
          </w:p>
        </w:tc>
        <w:tc>
          <w:tcPr>
            <w:tcW w:w="1060" w:type="dxa"/>
            <w:tcBorders>
              <w:bottom w:val="single" w:sz="4" w:space="0" w:color="808080" w:themeColor="background1" w:themeShade="80"/>
            </w:tcBorders>
          </w:tcPr>
          <w:p w:rsidR="004F453F" w:rsidRPr="00F90D20" w:rsidRDefault="004F453F" w:rsidP="002F27A9">
            <w:pPr>
              <w:pStyle w:val="Tablerow"/>
            </w:pPr>
            <w:r w:rsidRPr="00F90D20">
              <w:t>128</w:t>
            </w:r>
          </w:p>
        </w:tc>
        <w:tc>
          <w:tcPr>
            <w:tcW w:w="1061" w:type="dxa"/>
            <w:tcBorders>
              <w:bottom w:val="single" w:sz="4" w:space="0" w:color="808080" w:themeColor="background1" w:themeShade="80"/>
            </w:tcBorders>
          </w:tcPr>
          <w:p w:rsidR="004F453F" w:rsidRPr="00F90D20" w:rsidRDefault="004F453F" w:rsidP="002F27A9">
            <w:pPr>
              <w:pStyle w:val="Tablerow"/>
            </w:pPr>
            <w:r w:rsidRPr="00F90D20">
              <w:t>588</w:t>
            </w:r>
          </w:p>
        </w:tc>
      </w:tr>
      <w:tr w:rsidR="004F453F" w:rsidRPr="00F90D20" w:rsidTr="00B73093">
        <w:trPr>
          <w:trHeight w:val="67"/>
        </w:trPr>
        <w:tc>
          <w:tcPr>
            <w:tcW w:w="1066"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70 to 98</w:t>
            </w:r>
          </w:p>
        </w:tc>
        <w:tc>
          <w:tcPr>
            <w:tcW w:w="1060"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301</w:t>
            </w:r>
          </w:p>
        </w:tc>
        <w:tc>
          <w:tcPr>
            <w:tcW w:w="1101"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70%</w:t>
            </w:r>
          </w:p>
        </w:tc>
        <w:tc>
          <w:tcPr>
            <w:tcW w:w="1019"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49%</w:t>
            </w:r>
          </w:p>
        </w:tc>
        <w:tc>
          <w:tcPr>
            <w:tcW w:w="1061"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51</w:t>
            </w:r>
          </w:p>
        </w:tc>
        <w:tc>
          <w:tcPr>
            <w:tcW w:w="1060"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57</w:t>
            </w:r>
          </w:p>
        </w:tc>
        <w:tc>
          <w:tcPr>
            <w:tcW w:w="1060"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256</w:t>
            </w:r>
          </w:p>
        </w:tc>
        <w:tc>
          <w:tcPr>
            <w:tcW w:w="1061"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190</w:t>
            </w:r>
          </w:p>
        </w:tc>
        <w:tc>
          <w:tcPr>
            <w:tcW w:w="1060"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852</w:t>
            </w:r>
          </w:p>
        </w:tc>
        <w:tc>
          <w:tcPr>
            <w:tcW w:w="1060"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81%</w:t>
            </w:r>
          </w:p>
        </w:tc>
        <w:tc>
          <w:tcPr>
            <w:tcW w:w="1061" w:type="dxa"/>
            <w:tcBorders>
              <w:top w:val="single" w:sz="4" w:space="0" w:color="808080" w:themeColor="background1" w:themeShade="80"/>
              <w:bottom w:val="single" w:sz="4" w:space="0" w:color="808080" w:themeColor="background1" w:themeShade="80"/>
            </w:tcBorders>
            <w:hideMark/>
          </w:tcPr>
          <w:p w:rsidR="004F453F" w:rsidRPr="00F90D20" w:rsidRDefault="004F453F" w:rsidP="002F27A9">
            <w:pPr>
              <w:pStyle w:val="Tablerow"/>
            </w:pPr>
            <w:r w:rsidRPr="00F90D20">
              <w:t>41</w:t>
            </w:r>
          </w:p>
        </w:tc>
        <w:tc>
          <w:tcPr>
            <w:tcW w:w="1060" w:type="dxa"/>
            <w:tcBorders>
              <w:top w:val="single" w:sz="4" w:space="0" w:color="808080" w:themeColor="background1" w:themeShade="80"/>
              <w:bottom w:val="single" w:sz="4" w:space="0" w:color="808080" w:themeColor="background1" w:themeShade="80"/>
            </w:tcBorders>
          </w:tcPr>
          <w:p w:rsidR="004F453F" w:rsidRPr="00F90D20" w:rsidRDefault="004F453F" w:rsidP="002F27A9">
            <w:pPr>
              <w:pStyle w:val="Tablerow"/>
            </w:pPr>
            <w:r w:rsidRPr="00F90D20">
              <w:t>152</w:t>
            </w:r>
          </w:p>
        </w:tc>
        <w:tc>
          <w:tcPr>
            <w:tcW w:w="1060" w:type="dxa"/>
            <w:tcBorders>
              <w:top w:val="single" w:sz="4" w:space="0" w:color="808080" w:themeColor="background1" w:themeShade="80"/>
              <w:bottom w:val="single" w:sz="4" w:space="0" w:color="808080" w:themeColor="background1" w:themeShade="80"/>
            </w:tcBorders>
          </w:tcPr>
          <w:p w:rsidR="004F453F" w:rsidRPr="00F90D20" w:rsidRDefault="004F453F" w:rsidP="002F27A9">
            <w:pPr>
              <w:pStyle w:val="Tablerow"/>
            </w:pPr>
            <w:r w:rsidRPr="00F90D20">
              <w:t>109</w:t>
            </w:r>
          </w:p>
        </w:tc>
        <w:tc>
          <w:tcPr>
            <w:tcW w:w="1061" w:type="dxa"/>
            <w:tcBorders>
              <w:top w:val="single" w:sz="4" w:space="0" w:color="808080" w:themeColor="background1" w:themeShade="80"/>
              <w:bottom w:val="single" w:sz="4" w:space="0" w:color="808080" w:themeColor="background1" w:themeShade="80"/>
            </w:tcBorders>
          </w:tcPr>
          <w:p w:rsidR="004F453F" w:rsidRPr="00F90D20" w:rsidRDefault="004F453F" w:rsidP="002F27A9">
            <w:pPr>
              <w:pStyle w:val="Tablerow"/>
            </w:pPr>
            <w:r w:rsidRPr="00F90D20">
              <w:t>504</w:t>
            </w:r>
          </w:p>
        </w:tc>
      </w:tr>
    </w:tbl>
    <w:p w:rsidR="009F5BA8" w:rsidRPr="00500F57" w:rsidRDefault="009F5BA8" w:rsidP="00737DF6">
      <w:pPr>
        <w:pStyle w:val="Caption"/>
      </w:pPr>
      <w:bookmarkStart w:id="66" w:name="_Ref464565295"/>
      <w:r w:rsidRPr="00500F57">
        <w:lastRenderedPageBreak/>
        <w:t>Table</w:t>
      </w:r>
      <w:bookmarkEnd w:id="66"/>
      <w:r w:rsidR="005A7653">
        <w:t xml:space="preserve"> 8</w:t>
      </w:r>
      <w:r w:rsidRPr="00500F57">
        <w:t>:</w:t>
      </w:r>
      <w:r w:rsidR="00D55005" w:rsidRPr="00500F57">
        <w:t xml:space="preserve"> </w:t>
      </w:r>
      <w:r w:rsidRPr="00500F57">
        <w:t>How physical and active recreation participation changes (</w:t>
      </w:r>
      <w:r w:rsidR="00821436" w:rsidRPr="00500F57">
        <w:t xml:space="preserve">per year, </w:t>
      </w:r>
      <w:r w:rsidR="005540F0">
        <w:t>by region</w:t>
      </w:r>
      <w:r w:rsidRPr="00500F57">
        <w:t xml:space="preserve">) </w:t>
      </w:r>
    </w:p>
    <w:tbl>
      <w:tblPr>
        <w:tblW w:w="14600" w:type="dxa"/>
        <w:tblInd w:w="250" w:type="dxa"/>
        <w:tblLayout w:type="fixed"/>
        <w:tblLook w:val="04A0" w:firstRow="1" w:lastRow="0" w:firstColumn="1" w:lastColumn="0" w:noHBand="0" w:noVBand="1"/>
      </w:tblPr>
      <w:tblGrid>
        <w:gridCol w:w="1276"/>
        <w:gridCol w:w="1134"/>
        <w:gridCol w:w="992"/>
        <w:gridCol w:w="948"/>
        <w:gridCol w:w="1025"/>
        <w:gridCol w:w="1025"/>
        <w:gridCol w:w="1025"/>
        <w:gridCol w:w="1025"/>
        <w:gridCol w:w="1025"/>
        <w:gridCol w:w="1025"/>
        <w:gridCol w:w="1025"/>
        <w:gridCol w:w="1025"/>
        <w:gridCol w:w="1025"/>
        <w:gridCol w:w="1025"/>
      </w:tblGrid>
      <w:tr w:rsidR="001B605F" w:rsidRPr="00F90D20" w:rsidTr="00B73093">
        <w:trPr>
          <w:trHeight w:val="539"/>
          <w:tblHeader/>
        </w:trPr>
        <w:tc>
          <w:tcPr>
            <w:tcW w:w="1276"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1B605F" w:rsidP="002F27A9">
            <w:pPr>
              <w:pStyle w:val="Tablerow"/>
              <w:rPr>
                <w:b/>
                <w:sz w:val="16"/>
                <w:szCs w:val="16"/>
              </w:rPr>
            </w:pPr>
            <w:r w:rsidRPr="00B73093">
              <w:rPr>
                <w:b/>
                <w:sz w:val="16"/>
                <w:szCs w:val="16"/>
              </w:rPr>
              <w:t>Region</w:t>
            </w:r>
          </w:p>
        </w:tc>
        <w:tc>
          <w:tcPr>
            <w:tcW w:w="1134"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1B605F" w:rsidP="002F27A9">
            <w:pPr>
              <w:pStyle w:val="Tablerow"/>
              <w:rPr>
                <w:b/>
                <w:sz w:val="16"/>
                <w:szCs w:val="16"/>
              </w:rPr>
            </w:pPr>
            <w:r w:rsidRPr="00B73093">
              <w:rPr>
                <w:b/>
                <w:sz w:val="16"/>
                <w:szCs w:val="16"/>
              </w:rPr>
              <w:t>Population 15 and over</w:t>
            </w:r>
            <w:r w:rsidR="004C3B96" w:rsidRPr="00B73093">
              <w:rPr>
                <w:b/>
                <w:sz w:val="16"/>
                <w:szCs w:val="16"/>
              </w:rPr>
              <w:br/>
            </w:r>
            <w:r w:rsidRPr="00B73093">
              <w:rPr>
                <w:b/>
                <w:sz w:val="16"/>
                <w:szCs w:val="16"/>
              </w:rPr>
              <w:t>(</w:t>
            </w:r>
            <w:r w:rsidR="00BD6718" w:rsidRPr="00B73093">
              <w:rPr>
                <w:b/>
                <w:sz w:val="16"/>
                <w:szCs w:val="16"/>
              </w:rPr>
              <w:t>’</w:t>
            </w:r>
            <w:r w:rsidRPr="00B73093">
              <w:rPr>
                <w:b/>
                <w:sz w:val="16"/>
                <w:szCs w:val="16"/>
              </w:rPr>
              <w:t>000)</w:t>
            </w:r>
          </w:p>
        </w:tc>
        <w:tc>
          <w:tcPr>
            <w:tcW w:w="992" w:type="dxa"/>
            <w:vMerge w:val="restart"/>
            <w:tcBorders>
              <w:top w:val="single" w:sz="8" w:space="0" w:color="A6A6A6"/>
              <w:left w:val="nil"/>
              <w:bottom w:val="single" w:sz="8" w:space="0" w:color="A6A6A6"/>
              <w:right w:val="nil"/>
            </w:tcBorders>
            <w:shd w:val="clear" w:color="auto" w:fill="auto"/>
            <w:tcMar>
              <w:right w:w="0" w:type="dxa"/>
            </w:tcMar>
            <w:vAlign w:val="bottom"/>
            <w:hideMark/>
          </w:tcPr>
          <w:p w:rsidR="001B605F" w:rsidRPr="00B73093" w:rsidRDefault="001B605F" w:rsidP="002F27A9">
            <w:pPr>
              <w:pStyle w:val="Tablerow"/>
              <w:rPr>
                <w:b/>
                <w:sz w:val="16"/>
                <w:szCs w:val="16"/>
              </w:rPr>
            </w:pPr>
            <w:r w:rsidRPr="00B73093">
              <w:rPr>
                <w:b/>
                <w:sz w:val="16"/>
                <w:szCs w:val="16"/>
              </w:rPr>
              <w:t>Proportion of Victorians who participated in physical activity at least once</w:t>
            </w:r>
          </w:p>
        </w:tc>
        <w:tc>
          <w:tcPr>
            <w:tcW w:w="948"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C24082" w:rsidP="002F27A9">
            <w:pPr>
              <w:pStyle w:val="Tablerow"/>
              <w:rPr>
                <w:b/>
                <w:sz w:val="16"/>
                <w:szCs w:val="16"/>
              </w:rPr>
            </w:pPr>
            <w:r w:rsidRPr="00B73093">
              <w:rPr>
                <w:b/>
                <w:sz w:val="16"/>
                <w:szCs w:val="16"/>
              </w:rPr>
              <w:t>Proportion of Victorians who are physically inactive</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8F01CE" w:rsidRPr="00B73093" w:rsidRDefault="001B605F" w:rsidP="002F27A9">
            <w:pPr>
              <w:pStyle w:val="Tablerow"/>
              <w:rPr>
                <w:b/>
                <w:sz w:val="16"/>
                <w:szCs w:val="16"/>
              </w:rPr>
            </w:pPr>
            <w:r w:rsidRPr="00B73093">
              <w:rPr>
                <w:b/>
                <w:sz w:val="16"/>
                <w:szCs w:val="16"/>
              </w:rPr>
              <w:t>Total physical activity sessions</w:t>
            </w:r>
            <w:r w:rsidR="00821436" w:rsidRPr="00B73093">
              <w:rPr>
                <w:b/>
                <w:sz w:val="16"/>
                <w:szCs w:val="16"/>
              </w:rPr>
              <w:t xml:space="preserve"> per year</w:t>
            </w:r>
            <w:r w:rsidR="004C3B96" w:rsidRPr="00B73093">
              <w:rPr>
                <w:b/>
                <w:sz w:val="16"/>
                <w:szCs w:val="16"/>
              </w:rPr>
              <w:br/>
            </w:r>
            <w:r w:rsidR="008F01CE" w:rsidRPr="00B73093">
              <w:rPr>
                <w:b/>
                <w:sz w:val="16"/>
                <w:szCs w:val="16"/>
              </w:rPr>
              <w:t>(millions)</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8F01CE" w:rsidRPr="00B73093" w:rsidRDefault="001B605F" w:rsidP="002F27A9">
            <w:pPr>
              <w:pStyle w:val="Tablerow"/>
              <w:rPr>
                <w:b/>
                <w:sz w:val="16"/>
                <w:szCs w:val="16"/>
              </w:rPr>
            </w:pPr>
            <w:r w:rsidRPr="00B73093">
              <w:rPr>
                <w:b/>
                <w:sz w:val="16"/>
                <w:szCs w:val="16"/>
              </w:rPr>
              <w:t>Total physical activity hours</w:t>
            </w:r>
            <w:r w:rsidR="00821436" w:rsidRPr="00B73093">
              <w:rPr>
                <w:b/>
                <w:sz w:val="16"/>
                <w:szCs w:val="16"/>
              </w:rPr>
              <w:t xml:space="preserve"> per year</w:t>
            </w:r>
            <w:r w:rsidR="004C3B96" w:rsidRPr="00B73093">
              <w:rPr>
                <w:b/>
                <w:sz w:val="16"/>
                <w:szCs w:val="16"/>
              </w:rPr>
              <w:br/>
            </w:r>
            <w:r w:rsidR="008F01CE" w:rsidRPr="00B73093">
              <w:rPr>
                <w:b/>
                <w:sz w:val="16"/>
                <w:szCs w:val="16"/>
              </w:rPr>
              <w:t>(millions)</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1B605F" w:rsidP="002F27A9">
            <w:pPr>
              <w:pStyle w:val="Tablerow"/>
              <w:rPr>
                <w:b/>
                <w:sz w:val="16"/>
                <w:szCs w:val="16"/>
              </w:rPr>
            </w:pPr>
            <w:r w:rsidRPr="00B73093">
              <w:rPr>
                <w:b/>
                <w:sz w:val="16"/>
                <w:szCs w:val="16"/>
              </w:rPr>
              <w:t>Total MET hours</w:t>
            </w:r>
            <w:r w:rsidR="00821436" w:rsidRPr="00B73093">
              <w:rPr>
                <w:b/>
                <w:sz w:val="16"/>
                <w:szCs w:val="16"/>
              </w:rPr>
              <w:t xml:space="preserve"> per year</w:t>
            </w:r>
            <w:r w:rsidRPr="00B73093">
              <w:rPr>
                <w:b/>
                <w:sz w:val="16"/>
                <w:szCs w:val="16"/>
              </w:rPr>
              <w:t xml:space="preserve"> (millions)</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1B605F" w:rsidP="002F27A9">
            <w:pPr>
              <w:pStyle w:val="Tablerow"/>
              <w:rPr>
                <w:b/>
                <w:sz w:val="16"/>
                <w:szCs w:val="16"/>
              </w:rPr>
            </w:pPr>
            <w:r w:rsidRPr="00B73093">
              <w:rPr>
                <w:b/>
                <w:sz w:val="16"/>
                <w:szCs w:val="16"/>
              </w:rPr>
              <w:t>Average physical activity hours per capita</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1B605F" w:rsidP="002F27A9">
            <w:pPr>
              <w:pStyle w:val="Tablerow"/>
              <w:rPr>
                <w:b/>
                <w:sz w:val="16"/>
                <w:szCs w:val="16"/>
              </w:rPr>
            </w:pPr>
            <w:r w:rsidRPr="00B73093">
              <w:rPr>
                <w:b/>
                <w:sz w:val="16"/>
                <w:szCs w:val="16"/>
              </w:rPr>
              <w:t>Average physical activity METs per capita</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1B605F" w:rsidP="002F27A9">
            <w:pPr>
              <w:pStyle w:val="Tablerow"/>
              <w:rPr>
                <w:b/>
                <w:sz w:val="16"/>
                <w:szCs w:val="16"/>
              </w:rPr>
            </w:pPr>
            <w:r w:rsidRPr="00B73093">
              <w:rPr>
                <w:b/>
                <w:sz w:val="16"/>
                <w:szCs w:val="16"/>
              </w:rPr>
              <w:t>Proportion of activity sessions classified as active recreation</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1B605F" w:rsidP="002F27A9">
            <w:pPr>
              <w:pStyle w:val="Tablerow"/>
              <w:rPr>
                <w:b/>
                <w:sz w:val="16"/>
                <w:szCs w:val="16"/>
              </w:rPr>
            </w:pPr>
            <w:r w:rsidRPr="00B73093">
              <w:rPr>
                <w:b/>
                <w:sz w:val="16"/>
                <w:szCs w:val="16"/>
              </w:rPr>
              <w:t>Estimated number of active recreation exercise hours (millions)</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D55005" w:rsidRPr="00B73093" w:rsidRDefault="001B605F" w:rsidP="002F27A9">
            <w:pPr>
              <w:pStyle w:val="Tablerow"/>
              <w:rPr>
                <w:b/>
                <w:sz w:val="16"/>
                <w:szCs w:val="16"/>
              </w:rPr>
            </w:pPr>
            <w:r w:rsidRPr="00B73093">
              <w:rPr>
                <w:b/>
                <w:sz w:val="16"/>
                <w:szCs w:val="16"/>
              </w:rPr>
              <w:t>Estimated active recreation MET hours</w:t>
            </w:r>
          </w:p>
          <w:p w:rsidR="001B605F" w:rsidRPr="00B73093" w:rsidRDefault="001B605F" w:rsidP="002F27A9">
            <w:pPr>
              <w:pStyle w:val="Tablerow"/>
              <w:rPr>
                <w:b/>
                <w:sz w:val="16"/>
                <w:szCs w:val="16"/>
              </w:rPr>
            </w:pPr>
            <w:r w:rsidRPr="00B73093">
              <w:rPr>
                <w:b/>
                <w:sz w:val="16"/>
                <w:szCs w:val="16"/>
              </w:rPr>
              <w:t>(millions)</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1B605F" w:rsidP="002F27A9">
            <w:pPr>
              <w:pStyle w:val="Tablerow"/>
              <w:rPr>
                <w:b/>
                <w:sz w:val="16"/>
                <w:szCs w:val="16"/>
              </w:rPr>
            </w:pPr>
            <w:r w:rsidRPr="00B73093">
              <w:rPr>
                <w:b/>
                <w:sz w:val="16"/>
                <w:szCs w:val="16"/>
              </w:rPr>
              <w:t>Average active recreation hours per capita</w:t>
            </w:r>
          </w:p>
        </w:tc>
        <w:tc>
          <w:tcPr>
            <w:tcW w:w="1025" w:type="dxa"/>
            <w:vMerge w:val="restart"/>
            <w:tcBorders>
              <w:top w:val="single" w:sz="8" w:space="0" w:color="A6A6A6"/>
              <w:left w:val="nil"/>
              <w:bottom w:val="single" w:sz="8" w:space="0" w:color="A6A6A6"/>
              <w:right w:val="nil"/>
            </w:tcBorders>
            <w:shd w:val="clear" w:color="auto" w:fill="auto"/>
            <w:vAlign w:val="bottom"/>
            <w:hideMark/>
          </w:tcPr>
          <w:p w:rsidR="001B605F" w:rsidRPr="00B73093" w:rsidRDefault="001B605F" w:rsidP="002F27A9">
            <w:pPr>
              <w:pStyle w:val="Tablerow"/>
              <w:rPr>
                <w:b/>
                <w:sz w:val="16"/>
                <w:szCs w:val="16"/>
              </w:rPr>
            </w:pPr>
            <w:r w:rsidRPr="00B73093">
              <w:rPr>
                <w:b/>
                <w:sz w:val="16"/>
                <w:szCs w:val="16"/>
              </w:rPr>
              <w:t>Average active recreation METs per capita</w:t>
            </w:r>
          </w:p>
        </w:tc>
      </w:tr>
      <w:tr w:rsidR="001B605F" w:rsidRPr="00F90D20" w:rsidTr="00B73093">
        <w:trPr>
          <w:trHeight w:val="253"/>
          <w:tblHeader/>
        </w:trPr>
        <w:tc>
          <w:tcPr>
            <w:tcW w:w="1276"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134"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992" w:type="dxa"/>
            <w:vMerge/>
            <w:tcBorders>
              <w:top w:val="single" w:sz="8" w:space="0" w:color="A6A6A6"/>
              <w:left w:val="nil"/>
              <w:bottom w:val="single" w:sz="8" w:space="0" w:color="A6A6A6"/>
              <w:right w:val="nil"/>
            </w:tcBorders>
            <w:tcMar>
              <w:right w:w="0" w:type="dxa"/>
            </w:tcMar>
            <w:vAlign w:val="bottom"/>
            <w:hideMark/>
          </w:tcPr>
          <w:p w:rsidR="001B605F" w:rsidRPr="00F90D20" w:rsidRDefault="001B605F" w:rsidP="002F27A9">
            <w:pPr>
              <w:pStyle w:val="Tablerow"/>
            </w:pPr>
          </w:p>
        </w:tc>
        <w:tc>
          <w:tcPr>
            <w:tcW w:w="948"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c>
          <w:tcPr>
            <w:tcW w:w="1025" w:type="dxa"/>
            <w:vMerge/>
            <w:tcBorders>
              <w:top w:val="single" w:sz="8" w:space="0" w:color="A6A6A6"/>
              <w:left w:val="nil"/>
              <w:bottom w:val="single" w:sz="8" w:space="0" w:color="A6A6A6"/>
              <w:right w:val="nil"/>
            </w:tcBorders>
            <w:vAlign w:val="bottom"/>
            <w:hideMark/>
          </w:tcPr>
          <w:p w:rsidR="001B605F" w:rsidRPr="00F90D20" w:rsidRDefault="001B605F" w:rsidP="002F27A9">
            <w:pPr>
              <w:pStyle w:val="Tablerow"/>
            </w:pPr>
          </w:p>
        </w:tc>
      </w:tr>
      <w:tr w:rsidR="00B83985" w:rsidRPr="00F90D20" w:rsidTr="00B73093">
        <w:trPr>
          <w:tblHeader/>
        </w:trPr>
        <w:tc>
          <w:tcPr>
            <w:tcW w:w="1276" w:type="dxa"/>
            <w:tcBorders>
              <w:top w:val="nil"/>
              <w:left w:val="nil"/>
              <w:bottom w:val="single" w:sz="8" w:space="0" w:color="A6A6A6"/>
              <w:right w:val="nil"/>
            </w:tcBorders>
            <w:shd w:val="clear" w:color="auto" w:fill="auto"/>
            <w:vAlign w:val="bottom"/>
            <w:hideMark/>
          </w:tcPr>
          <w:p w:rsidR="00B83985" w:rsidRPr="00F90D20" w:rsidRDefault="00B83985" w:rsidP="002F27A9">
            <w:pPr>
              <w:pStyle w:val="Tablerow"/>
            </w:pPr>
            <w:r w:rsidRPr="00F90D20">
              <w:t xml:space="preserve">Victoria total </w:t>
            </w:r>
          </w:p>
        </w:tc>
        <w:tc>
          <w:tcPr>
            <w:tcW w:w="1134" w:type="dxa"/>
            <w:tcBorders>
              <w:top w:val="nil"/>
              <w:left w:val="nil"/>
              <w:bottom w:val="single" w:sz="8" w:space="0" w:color="A6A6A6"/>
              <w:right w:val="nil"/>
            </w:tcBorders>
            <w:shd w:val="clear" w:color="auto" w:fill="auto"/>
            <w:vAlign w:val="bottom"/>
            <w:hideMark/>
          </w:tcPr>
          <w:p w:rsidR="00B83985" w:rsidRPr="00F90D20" w:rsidRDefault="00B83985" w:rsidP="002F27A9">
            <w:pPr>
              <w:pStyle w:val="Tablerow"/>
              <w:rPr>
                <w:b/>
                <w:bCs/>
              </w:rPr>
            </w:pPr>
            <w:r w:rsidRPr="00F90D20">
              <w:t>4,</w:t>
            </w:r>
            <w:r w:rsidR="004F453F" w:rsidRPr="00F90D20">
              <w:t>838</w:t>
            </w:r>
          </w:p>
        </w:tc>
        <w:tc>
          <w:tcPr>
            <w:tcW w:w="992" w:type="dxa"/>
            <w:tcBorders>
              <w:top w:val="nil"/>
              <w:left w:val="nil"/>
              <w:bottom w:val="single" w:sz="8" w:space="0" w:color="A6A6A6"/>
              <w:right w:val="nil"/>
            </w:tcBorders>
            <w:shd w:val="clear" w:color="auto" w:fill="auto"/>
            <w:tcMar>
              <w:right w:w="0" w:type="dxa"/>
            </w:tcMar>
            <w:vAlign w:val="bottom"/>
            <w:hideMark/>
          </w:tcPr>
          <w:p w:rsidR="00B83985" w:rsidRPr="00F90D20" w:rsidRDefault="00B83985" w:rsidP="002F27A9">
            <w:pPr>
              <w:pStyle w:val="Tablerow"/>
              <w:rPr>
                <w:b/>
                <w:bCs/>
              </w:rPr>
            </w:pPr>
            <w:r w:rsidRPr="00F90D20">
              <w:t>81%</w:t>
            </w:r>
          </w:p>
        </w:tc>
        <w:tc>
          <w:tcPr>
            <w:tcW w:w="948" w:type="dxa"/>
            <w:tcBorders>
              <w:top w:val="nil"/>
              <w:left w:val="nil"/>
              <w:bottom w:val="single" w:sz="8" w:space="0" w:color="A6A6A6"/>
              <w:right w:val="nil"/>
            </w:tcBorders>
            <w:shd w:val="clear" w:color="auto" w:fill="auto"/>
            <w:vAlign w:val="bottom"/>
            <w:hideMark/>
          </w:tcPr>
          <w:p w:rsidR="00B83985" w:rsidRPr="00F90D20" w:rsidRDefault="00CA14A4" w:rsidP="002F27A9">
            <w:pPr>
              <w:pStyle w:val="Tablerow"/>
              <w:rPr>
                <w:b/>
                <w:bCs/>
              </w:rPr>
            </w:pPr>
            <w:r w:rsidRPr="00F90D20">
              <w:t>50</w:t>
            </w:r>
            <w:r w:rsidR="00B83985" w:rsidRPr="00F90D20">
              <w:t>%</w:t>
            </w:r>
          </w:p>
        </w:tc>
        <w:tc>
          <w:tcPr>
            <w:tcW w:w="1025" w:type="dxa"/>
            <w:tcBorders>
              <w:top w:val="nil"/>
              <w:left w:val="nil"/>
              <w:bottom w:val="single" w:sz="8" w:space="0" w:color="A6A6A6"/>
              <w:right w:val="nil"/>
            </w:tcBorders>
            <w:shd w:val="clear" w:color="auto" w:fill="auto"/>
            <w:vAlign w:val="bottom"/>
            <w:hideMark/>
          </w:tcPr>
          <w:p w:rsidR="00B83985" w:rsidRPr="00F90D20" w:rsidRDefault="004F453F" w:rsidP="002F27A9">
            <w:pPr>
              <w:pStyle w:val="Tablerow"/>
              <w:rPr>
                <w:b/>
                <w:bCs/>
              </w:rPr>
            </w:pPr>
            <w:r w:rsidRPr="00F90D20">
              <w:t>837</w:t>
            </w:r>
          </w:p>
        </w:tc>
        <w:tc>
          <w:tcPr>
            <w:tcW w:w="1025" w:type="dxa"/>
            <w:tcBorders>
              <w:top w:val="nil"/>
              <w:left w:val="nil"/>
              <w:bottom w:val="single" w:sz="8" w:space="0" w:color="A6A6A6"/>
              <w:right w:val="nil"/>
            </w:tcBorders>
            <w:shd w:val="clear" w:color="auto" w:fill="auto"/>
            <w:vAlign w:val="bottom"/>
            <w:hideMark/>
          </w:tcPr>
          <w:p w:rsidR="00B83985" w:rsidRPr="00F90D20" w:rsidRDefault="004F453F" w:rsidP="002F27A9">
            <w:pPr>
              <w:pStyle w:val="Tablerow"/>
              <w:rPr>
                <w:b/>
                <w:bCs/>
              </w:rPr>
            </w:pPr>
            <w:r w:rsidRPr="00F90D20">
              <w:t>772</w:t>
            </w:r>
          </w:p>
        </w:tc>
        <w:tc>
          <w:tcPr>
            <w:tcW w:w="1025" w:type="dxa"/>
            <w:tcBorders>
              <w:top w:val="nil"/>
              <w:left w:val="nil"/>
              <w:bottom w:val="single" w:sz="8" w:space="0" w:color="A6A6A6"/>
              <w:right w:val="nil"/>
            </w:tcBorders>
            <w:shd w:val="clear" w:color="auto" w:fill="auto"/>
            <w:vAlign w:val="bottom"/>
            <w:hideMark/>
          </w:tcPr>
          <w:p w:rsidR="00B83985" w:rsidRPr="00F90D20" w:rsidRDefault="004F453F" w:rsidP="002F27A9">
            <w:pPr>
              <w:pStyle w:val="Tablerow"/>
              <w:rPr>
                <w:b/>
                <w:bCs/>
              </w:rPr>
            </w:pPr>
            <w:r w:rsidRPr="00F90D20">
              <w:t>4,169</w:t>
            </w:r>
          </w:p>
        </w:tc>
        <w:tc>
          <w:tcPr>
            <w:tcW w:w="1025" w:type="dxa"/>
            <w:tcBorders>
              <w:top w:val="nil"/>
              <w:left w:val="nil"/>
              <w:bottom w:val="single" w:sz="8" w:space="0" w:color="A6A6A6"/>
              <w:right w:val="nil"/>
            </w:tcBorders>
            <w:shd w:val="clear" w:color="auto" w:fill="auto"/>
            <w:vAlign w:val="bottom"/>
            <w:hideMark/>
          </w:tcPr>
          <w:p w:rsidR="00B83985" w:rsidRPr="00F90D20" w:rsidRDefault="00B83985" w:rsidP="002F27A9">
            <w:pPr>
              <w:pStyle w:val="Tablerow"/>
              <w:rPr>
                <w:b/>
                <w:bCs/>
              </w:rPr>
            </w:pPr>
            <w:r w:rsidRPr="00F90D20">
              <w:t>160</w:t>
            </w:r>
          </w:p>
        </w:tc>
        <w:tc>
          <w:tcPr>
            <w:tcW w:w="1025" w:type="dxa"/>
            <w:tcBorders>
              <w:top w:val="nil"/>
              <w:left w:val="nil"/>
              <w:bottom w:val="single" w:sz="8" w:space="0" w:color="A6A6A6"/>
              <w:right w:val="nil"/>
            </w:tcBorders>
            <w:shd w:val="clear" w:color="auto" w:fill="auto"/>
            <w:vAlign w:val="bottom"/>
            <w:hideMark/>
          </w:tcPr>
          <w:p w:rsidR="00B83985" w:rsidRPr="00F90D20" w:rsidRDefault="004F453F" w:rsidP="002F27A9">
            <w:pPr>
              <w:pStyle w:val="Tablerow"/>
              <w:rPr>
                <w:b/>
                <w:bCs/>
              </w:rPr>
            </w:pPr>
            <w:r w:rsidRPr="00F90D20">
              <w:t>862</w:t>
            </w:r>
          </w:p>
        </w:tc>
        <w:tc>
          <w:tcPr>
            <w:tcW w:w="1025" w:type="dxa"/>
            <w:tcBorders>
              <w:top w:val="nil"/>
              <w:left w:val="nil"/>
              <w:bottom w:val="single" w:sz="8" w:space="0" w:color="A6A6A6"/>
              <w:right w:val="nil"/>
            </w:tcBorders>
            <w:shd w:val="clear" w:color="auto" w:fill="auto"/>
            <w:vAlign w:val="bottom"/>
            <w:hideMark/>
          </w:tcPr>
          <w:p w:rsidR="00B83985" w:rsidRPr="00F90D20" w:rsidRDefault="00B83985" w:rsidP="002F27A9">
            <w:pPr>
              <w:pStyle w:val="Tablerow"/>
              <w:rPr>
                <w:b/>
                <w:bCs/>
              </w:rPr>
            </w:pPr>
            <w:r w:rsidRPr="00F90D20">
              <w:t>87%</w:t>
            </w:r>
          </w:p>
        </w:tc>
        <w:tc>
          <w:tcPr>
            <w:tcW w:w="1025" w:type="dxa"/>
            <w:tcBorders>
              <w:top w:val="nil"/>
              <w:left w:val="nil"/>
              <w:bottom w:val="single" w:sz="8" w:space="0" w:color="A6A6A6"/>
              <w:right w:val="nil"/>
            </w:tcBorders>
            <w:shd w:val="clear" w:color="auto" w:fill="auto"/>
            <w:vAlign w:val="bottom"/>
            <w:hideMark/>
          </w:tcPr>
          <w:p w:rsidR="00B83985" w:rsidRPr="00F90D20" w:rsidRDefault="00B83985" w:rsidP="002F27A9">
            <w:pPr>
              <w:pStyle w:val="Tablerow"/>
              <w:rPr>
                <w:b/>
                <w:bCs/>
              </w:rPr>
            </w:pPr>
            <w:r w:rsidRPr="00F90D20">
              <w:t>582</w:t>
            </w:r>
          </w:p>
        </w:tc>
        <w:tc>
          <w:tcPr>
            <w:tcW w:w="1025" w:type="dxa"/>
            <w:tcBorders>
              <w:top w:val="nil"/>
              <w:left w:val="nil"/>
              <w:bottom w:val="single" w:sz="8" w:space="0" w:color="A6A6A6"/>
              <w:right w:val="nil"/>
            </w:tcBorders>
            <w:shd w:val="clear" w:color="auto" w:fill="auto"/>
            <w:vAlign w:val="bottom"/>
            <w:hideMark/>
          </w:tcPr>
          <w:p w:rsidR="00B83985" w:rsidRPr="00F90D20" w:rsidRDefault="00B83985" w:rsidP="002F27A9">
            <w:pPr>
              <w:pStyle w:val="Tablerow"/>
              <w:rPr>
                <w:b/>
                <w:bCs/>
              </w:rPr>
            </w:pPr>
            <w:r w:rsidRPr="00F90D20">
              <w:t>2,</w:t>
            </w:r>
            <w:r w:rsidR="004F453F" w:rsidRPr="00F90D20">
              <w:t>654</w:t>
            </w:r>
          </w:p>
        </w:tc>
        <w:tc>
          <w:tcPr>
            <w:tcW w:w="1025" w:type="dxa"/>
            <w:tcBorders>
              <w:top w:val="nil"/>
              <w:left w:val="nil"/>
              <w:bottom w:val="single" w:sz="8" w:space="0" w:color="A6A6A6"/>
              <w:right w:val="nil"/>
            </w:tcBorders>
            <w:shd w:val="clear" w:color="auto" w:fill="auto"/>
            <w:vAlign w:val="bottom"/>
            <w:hideMark/>
          </w:tcPr>
          <w:p w:rsidR="00B83985" w:rsidRPr="00F90D20" w:rsidRDefault="004F453F" w:rsidP="002F27A9">
            <w:pPr>
              <w:pStyle w:val="Tablerow"/>
              <w:rPr>
                <w:b/>
                <w:bCs/>
              </w:rPr>
            </w:pPr>
            <w:r w:rsidRPr="00F90D20">
              <w:t>127</w:t>
            </w:r>
          </w:p>
        </w:tc>
        <w:tc>
          <w:tcPr>
            <w:tcW w:w="1025" w:type="dxa"/>
            <w:tcBorders>
              <w:top w:val="nil"/>
              <w:left w:val="nil"/>
              <w:bottom w:val="single" w:sz="8" w:space="0" w:color="A6A6A6"/>
              <w:right w:val="nil"/>
            </w:tcBorders>
            <w:shd w:val="clear" w:color="auto" w:fill="auto"/>
            <w:vAlign w:val="bottom"/>
            <w:hideMark/>
          </w:tcPr>
          <w:p w:rsidR="00B83985" w:rsidRPr="00F90D20" w:rsidRDefault="004F453F" w:rsidP="002F27A9">
            <w:pPr>
              <w:pStyle w:val="Tablerow"/>
              <w:rPr>
                <w:b/>
                <w:bCs/>
              </w:rPr>
            </w:pPr>
            <w:r w:rsidRPr="00F90D20">
              <w:t>577</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Barwon</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234.3</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83%</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224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178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958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169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140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719</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Bayside Peninsula</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735.7</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84%</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143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132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684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180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930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106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544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144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740</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proofErr w:type="spellStart"/>
            <w:r w:rsidRPr="00F90D20">
              <w:t>Brimbank</w:t>
            </w:r>
            <w:proofErr w:type="spellEnd"/>
            <w:r w:rsidRPr="00F90D20">
              <w:t xml:space="preserve"> Melton</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260.6</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72%</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176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121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675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140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100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538</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Central Highlands</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153.2</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81%</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120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153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786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117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571</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Goulburn</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127.8</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79%</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103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160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803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116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573</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Hume Moreland</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289.9</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78%</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221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145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763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180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122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622</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Inner East Melbourne</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524.5</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84%</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92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448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161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854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331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125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630</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Inner Gippsland</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150.3</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80%</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122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161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812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117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562</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Loddon</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189.6</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80%</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128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136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674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95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105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502</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Mallee</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74.4</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76%</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138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699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108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522</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North East Melbourne</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504.6</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82%</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437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165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867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349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137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692</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Outer East Melbourne</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337.9</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83%</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267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151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790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193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115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572</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Outer Gippsland</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73.2</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82%</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182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866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132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644</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Ovens Murray</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101.7</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82%</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168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838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136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649</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Southern Melbourne</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428.5</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75%</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63</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325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147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758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249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116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581</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Western District</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122.7</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79%</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90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155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731</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15</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68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119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555</w:t>
            </w:r>
          </w:p>
        </w:tc>
      </w:tr>
      <w:tr w:rsidR="00B171D2" w:rsidRPr="00F90D20" w:rsidTr="00B73093">
        <w:tc>
          <w:tcPr>
            <w:tcW w:w="1276"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Western Melbourne</w:t>
            </w:r>
          </w:p>
        </w:tc>
        <w:tc>
          <w:tcPr>
            <w:tcW w:w="1134"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529.2</w:t>
            </w:r>
          </w:p>
        </w:tc>
        <w:tc>
          <w:tcPr>
            <w:tcW w:w="992" w:type="dxa"/>
            <w:tcBorders>
              <w:top w:val="nil"/>
              <w:left w:val="nil"/>
              <w:bottom w:val="single" w:sz="8" w:space="0" w:color="A6A6A6"/>
              <w:right w:val="nil"/>
            </w:tcBorders>
            <w:shd w:val="clear" w:color="auto" w:fill="auto"/>
            <w:tcMar>
              <w:right w:w="0" w:type="dxa"/>
            </w:tcMar>
            <w:vAlign w:val="bottom"/>
            <w:hideMark/>
          </w:tcPr>
          <w:p w:rsidR="00B171D2" w:rsidRPr="00F90D20" w:rsidRDefault="00B171D2" w:rsidP="002F27A9">
            <w:pPr>
              <w:pStyle w:val="Tablerow"/>
            </w:pPr>
            <w:r w:rsidRPr="00F90D20">
              <w:t>82%</w:t>
            </w:r>
          </w:p>
        </w:tc>
        <w:tc>
          <w:tcPr>
            <w:tcW w:w="948"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94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466</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168</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880</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87%</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74</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372</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139</w:t>
            </w:r>
          </w:p>
        </w:tc>
        <w:tc>
          <w:tcPr>
            <w:tcW w:w="1025" w:type="dxa"/>
            <w:tcBorders>
              <w:top w:val="nil"/>
              <w:left w:val="nil"/>
              <w:bottom w:val="single" w:sz="8" w:space="0" w:color="A6A6A6"/>
              <w:right w:val="nil"/>
            </w:tcBorders>
            <w:shd w:val="clear" w:color="auto" w:fill="auto"/>
            <w:vAlign w:val="bottom"/>
            <w:hideMark/>
          </w:tcPr>
          <w:p w:rsidR="00B171D2" w:rsidRPr="00F90D20" w:rsidRDefault="00B171D2" w:rsidP="002F27A9">
            <w:pPr>
              <w:pStyle w:val="Tablerow"/>
            </w:pPr>
            <w:r w:rsidRPr="00F90D20">
              <w:t>704</w:t>
            </w:r>
          </w:p>
        </w:tc>
      </w:tr>
    </w:tbl>
    <w:p w:rsidR="00D63A0D" w:rsidRPr="00500F57" w:rsidRDefault="00D63A0D" w:rsidP="002F27A9">
      <w:pPr>
        <w:pStyle w:val="Heading1"/>
      </w:pPr>
      <w:bookmarkStart w:id="67" w:name="_Toc477964693"/>
      <w:bookmarkStart w:id="68" w:name="_Toc516050181"/>
      <w:r w:rsidRPr="00500F57">
        <w:lastRenderedPageBreak/>
        <w:t>Economic contribution</w:t>
      </w:r>
      <w:bookmarkEnd w:id="67"/>
      <w:bookmarkEnd w:id="68"/>
    </w:p>
    <w:p w:rsidR="00D55005" w:rsidRPr="009F0FF4" w:rsidRDefault="000E1092" w:rsidP="002F27A9">
      <w:pPr>
        <w:rPr>
          <w:rStyle w:val="Emphasis"/>
        </w:rPr>
      </w:pPr>
      <w:r w:rsidRPr="009F0FF4">
        <w:rPr>
          <w:rStyle w:val="Emphasis"/>
        </w:rPr>
        <w:t xml:space="preserve">We estimate that </w:t>
      </w:r>
      <w:r w:rsidR="00A7401A" w:rsidRPr="009F0FF4">
        <w:rPr>
          <w:rStyle w:val="Emphasis"/>
        </w:rPr>
        <w:t xml:space="preserve">Victorian </w:t>
      </w:r>
      <w:r w:rsidRPr="009F0FF4">
        <w:rPr>
          <w:rStyle w:val="Emphasis"/>
        </w:rPr>
        <w:t xml:space="preserve">residents and visitors to Victoria spend around </w:t>
      </w:r>
      <w:r w:rsidR="00262D50" w:rsidRPr="009F0FF4">
        <w:rPr>
          <w:rStyle w:val="Emphasis"/>
        </w:rPr>
        <w:t>$</w:t>
      </w:r>
      <w:r w:rsidR="00FF1BAB" w:rsidRPr="009F0FF4">
        <w:rPr>
          <w:rStyle w:val="Emphasis"/>
        </w:rPr>
        <w:t>8.</w:t>
      </w:r>
      <w:r w:rsidR="00B171D2" w:rsidRPr="009F0FF4">
        <w:rPr>
          <w:rStyle w:val="Emphasis"/>
        </w:rPr>
        <w:t>3 </w:t>
      </w:r>
      <w:r w:rsidR="00D55005" w:rsidRPr="009F0FF4">
        <w:rPr>
          <w:rStyle w:val="Emphasis"/>
        </w:rPr>
        <w:t>b</w:t>
      </w:r>
      <w:r w:rsidR="00262D50" w:rsidRPr="009F0FF4">
        <w:rPr>
          <w:rStyle w:val="Emphasis"/>
        </w:rPr>
        <w:t xml:space="preserve">illion </w:t>
      </w:r>
      <w:r w:rsidR="002864CB" w:rsidRPr="009F0FF4">
        <w:rPr>
          <w:rStyle w:val="Emphasis"/>
        </w:rPr>
        <w:t>in the active recreation sector</w:t>
      </w:r>
      <w:r w:rsidR="00BD6718" w:rsidRPr="009F0FF4">
        <w:rPr>
          <w:rStyle w:val="Emphasis"/>
        </w:rPr>
        <w:t xml:space="preserve">. By far the largest proportion of that spending is </w:t>
      </w:r>
      <w:r w:rsidR="002864CB" w:rsidRPr="009F0FF4">
        <w:rPr>
          <w:rStyle w:val="Emphasis"/>
        </w:rPr>
        <w:t>in the form of</w:t>
      </w:r>
      <w:r w:rsidR="00262D50" w:rsidRPr="009F0FF4">
        <w:rPr>
          <w:rStyle w:val="Emphasis"/>
        </w:rPr>
        <w:t xml:space="preserve"> consumer spe</w:t>
      </w:r>
      <w:r w:rsidR="002864CB" w:rsidRPr="009F0FF4">
        <w:rPr>
          <w:rStyle w:val="Emphasis"/>
        </w:rPr>
        <w:t xml:space="preserve">nding. </w:t>
      </w:r>
      <w:r w:rsidR="00262D50" w:rsidRPr="009F0FF4">
        <w:rPr>
          <w:rStyle w:val="Emphasis"/>
        </w:rPr>
        <w:t xml:space="preserve">Some </w:t>
      </w:r>
      <w:r w:rsidRPr="009F0FF4">
        <w:rPr>
          <w:rStyle w:val="Emphasis"/>
        </w:rPr>
        <w:t>$</w:t>
      </w:r>
      <w:r w:rsidR="00DD5AFE" w:rsidRPr="009F0FF4">
        <w:rPr>
          <w:rStyle w:val="Emphasis"/>
        </w:rPr>
        <w:t>7.</w:t>
      </w:r>
      <w:r w:rsidR="00B171D2" w:rsidRPr="009F0FF4">
        <w:rPr>
          <w:rStyle w:val="Emphasis"/>
        </w:rPr>
        <w:t>9 </w:t>
      </w:r>
      <w:r w:rsidR="00D55005" w:rsidRPr="009F0FF4">
        <w:rPr>
          <w:rStyle w:val="Emphasis"/>
        </w:rPr>
        <w:t>b</w:t>
      </w:r>
      <w:r w:rsidRPr="009F0FF4">
        <w:rPr>
          <w:rStyle w:val="Emphasis"/>
        </w:rPr>
        <w:t xml:space="preserve">illion </w:t>
      </w:r>
      <w:r w:rsidR="00262D50" w:rsidRPr="009F0FF4">
        <w:rPr>
          <w:rStyle w:val="Emphasis"/>
        </w:rPr>
        <w:t xml:space="preserve">is spent </w:t>
      </w:r>
      <w:r w:rsidRPr="009F0FF4">
        <w:rPr>
          <w:rStyle w:val="Emphasis"/>
        </w:rPr>
        <w:t xml:space="preserve">each year on </w:t>
      </w:r>
      <w:r w:rsidR="00307165" w:rsidRPr="009F0FF4">
        <w:rPr>
          <w:rStyle w:val="Emphasis"/>
        </w:rPr>
        <w:t>active recreation</w:t>
      </w:r>
      <w:r w:rsidRPr="009F0FF4">
        <w:rPr>
          <w:rStyle w:val="Emphasis"/>
        </w:rPr>
        <w:t xml:space="preserve"> and equipment</w:t>
      </w:r>
      <w:r w:rsidR="00A31CC2" w:rsidRPr="009F0FF4">
        <w:rPr>
          <w:rStyle w:val="Emphasis"/>
        </w:rPr>
        <w:t>, including around $</w:t>
      </w:r>
      <w:r w:rsidR="00262D50" w:rsidRPr="009F0FF4">
        <w:rPr>
          <w:rStyle w:val="Emphasis"/>
        </w:rPr>
        <w:t>3.</w:t>
      </w:r>
      <w:r w:rsidR="00B171D2" w:rsidRPr="009F0FF4">
        <w:rPr>
          <w:rStyle w:val="Emphasis"/>
        </w:rPr>
        <w:t>8 </w:t>
      </w:r>
      <w:r w:rsidR="00D55005" w:rsidRPr="009F0FF4">
        <w:rPr>
          <w:rStyle w:val="Emphasis"/>
        </w:rPr>
        <w:t>b</w:t>
      </w:r>
      <w:r w:rsidR="00262D50" w:rsidRPr="009F0FF4">
        <w:rPr>
          <w:rStyle w:val="Emphasis"/>
        </w:rPr>
        <w:t xml:space="preserve">illion </w:t>
      </w:r>
      <w:r w:rsidR="00A31CC2" w:rsidRPr="009F0FF4">
        <w:rPr>
          <w:rStyle w:val="Emphasis"/>
        </w:rPr>
        <w:t>in</w:t>
      </w:r>
      <w:r w:rsidR="006078E4" w:rsidRPr="009F0FF4">
        <w:rPr>
          <w:rStyle w:val="Emphasis"/>
        </w:rPr>
        <w:t xml:space="preserve"> inter-regional</w:t>
      </w:r>
      <w:r w:rsidR="00A31CC2" w:rsidRPr="009F0FF4">
        <w:rPr>
          <w:rStyle w:val="Emphasis"/>
        </w:rPr>
        <w:t xml:space="preserve"> tourism and travel</w:t>
      </w:r>
      <w:r w:rsidR="00BD6718" w:rsidRPr="009F0FF4">
        <w:rPr>
          <w:rStyle w:val="Emphasis"/>
        </w:rPr>
        <w:t>-</w:t>
      </w:r>
      <w:r w:rsidR="00A31CC2" w:rsidRPr="009F0FF4">
        <w:rPr>
          <w:rStyle w:val="Emphasis"/>
        </w:rPr>
        <w:t>related expenditure</w:t>
      </w:r>
      <w:r w:rsidR="00262D50" w:rsidRPr="009F0FF4">
        <w:rPr>
          <w:rStyle w:val="Emphasis"/>
        </w:rPr>
        <w:t>.</w:t>
      </w:r>
    </w:p>
    <w:p w:rsidR="000E1092" w:rsidRPr="00500F57" w:rsidRDefault="00262D50" w:rsidP="002F27A9">
      <w:pPr>
        <w:pStyle w:val="Heading2"/>
      </w:pPr>
      <w:r w:rsidRPr="00500F57">
        <w:t>Consumer spending</w:t>
      </w:r>
    </w:p>
    <w:p w:rsidR="00D55005" w:rsidRPr="00500F57" w:rsidRDefault="000E1092" w:rsidP="002F27A9">
      <w:r w:rsidRPr="00500F57">
        <w:t xml:space="preserve">Victoria’s </w:t>
      </w:r>
      <w:r w:rsidR="00540735" w:rsidRPr="00500F57">
        <w:t>active recreation</w:t>
      </w:r>
      <w:r w:rsidRPr="00500F57">
        <w:t xml:space="preserve"> sector is driven by </w:t>
      </w:r>
      <w:r w:rsidR="00BD6718">
        <w:t xml:space="preserve">the spending of </w:t>
      </w:r>
      <w:r w:rsidRPr="00500F57">
        <w:t>Victorian</w:t>
      </w:r>
      <w:r w:rsidR="00DF5C94" w:rsidRPr="00500F57">
        <w:t>s</w:t>
      </w:r>
      <w:r w:rsidRPr="00500F57">
        <w:t xml:space="preserve"> and non-Victorians.</w:t>
      </w:r>
      <w:r w:rsidR="00D55005" w:rsidRPr="00500F57">
        <w:t xml:space="preserve"> </w:t>
      </w:r>
      <w:r w:rsidRPr="00500F57">
        <w:t>This spending takes two main forms:</w:t>
      </w:r>
      <w:r w:rsidR="00D55005" w:rsidRPr="00500F57">
        <w:t xml:space="preserve"> </w:t>
      </w:r>
      <w:r w:rsidRPr="00500F57">
        <w:t>the purchase of gear and equipment (including apparel, footwear, equipment</w:t>
      </w:r>
      <w:r w:rsidR="00BD6718">
        <w:t xml:space="preserve"> and</w:t>
      </w:r>
      <w:r w:rsidRPr="00500F57">
        <w:t xml:space="preserve"> vehicles), and dollars spent in Victoria on trips, travel and activities (including </w:t>
      </w:r>
      <w:r w:rsidR="00BD6718">
        <w:t xml:space="preserve">for </w:t>
      </w:r>
      <w:r w:rsidRPr="00500F57">
        <w:t>food and drink, transportation, fees, activities, accommodation and other</w:t>
      </w:r>
      <w:r w:rsidR="00BD6718">
        <w:t xml:space="preserve"> services</w:t>
      </w:r>
      <w:r w:rsidRPr="00500F57">
        <w:t>).</w:t>
      </w:r>
    </w:p>
    <w:p w:rsidR="00610FA4" w:rsidRDefault="000E1092" w:rsidP="002F27A9">
      <w:r w:rsidRPr="00500F57">
        <w:t xml:space="preserve">Our evaluation estimates that </w:t>
      </w:r>
      <w:r w:rsidR="00BD6718">
        <w:t xml:space="preserve">readily identifiable </w:t>
      </w:r>
      <w:r w:rsidRPr="00500F57">
        <w:t>equipment and trip</w:t>
      </w:r>
      <w:r w:rsidR="00BD6718">
        <w:t>-</w:t>
      </w:r>
      <w:r w:rsidRPr="00500F57">
        <w:t xml:space="preserve"> and travel</w:t>
      </w:r>
      <w:r w:rsidR="00BD6718">
        <w:t>-</w:t>
      </w:r>
      <w:r w:rsidRPr="00500F57">
        <w:t>related expenditure by Victorians and non-Victorians total</w:t>
      </w:r>
      <w:r w:rsidR="00BD6718">
        <w:t>s around</w:t>
      </w:r>
      <w:r w:rsidRPr="00500F57">
        <w:t xml:space="preserve"> $</w:t>
      </w:r>
      <w:r w:rsidR="00D44F01" w:rsidRPr="00500F57">
        <w:t>7.</w:t>
      </w:r>
      <w:r w:rsidR="00D93F64">
        <w:t>9</w:t>
      </w:r>
      <w:r w:rsidR="00D93F64" w:rsidRPr="00500F57">
        <w:t> </w:t>
      </w:r>
      <w:r w:rsidR="00D55005" w:rsidRPr="00500F57">
        <w:t>b</w:t>
      </w:r>
      <w:r w:rsidRPr="00500F57">
        <w:t xml:space="preserve">illion </w:t>
      </w:r>
      <w:r w:rsidR="006078E4" w:rsidRPr="00500F57">
        <w:t>a</w:t>
      </w:r>
      <w:r w:rsidRPr="00500F57">
        <w:t xml:space="preserve"> year, based on available data</w:t>
      </w:r>
      <w:r w:rsidR="006078E4" w:rsidRPr="00500F57">
        <w:t xml:space="preserve"> and current active recreation participation rates</w:t>
      </w:r>
      <w:r w:rsidR="00086834">
        <w:t xml:space="preserve"> (Table 9)</w:t>
      </w:r>
      <w:r w:rsidRPr="00500F57">
        <w:t>.</w:t>
      </w:r>
      <w:r w:rsidR="00610FA4">
        <w:t xml:space="preserve"> </w:t>
      </w:r>
    </w:p>
    <w:p w:rsidR="005A7653" w:rsidRDefault="00CB41DE" w:rsidP="002F27A9">
      <w:r w:rsidRPr="00500F57">
        <w:t>Tourism</w:t>
      </w:r>
      <w:r w:rsidR="00A31CC2" w:rsidRPr="00500F57">
        <w:t xml:space="preserve"> </w:t>
      </w:r>
      <w:r w:rsidRPr="00500F57">
        <w:t>represent</w:t>
      </w:r>
      <w:r w:rsidR="00BD6718">
        <w:t>s</w:t>
      </w:r>
      <w:r w:rsidRPr="00500F57">
        <w:t xml:space="preserve"> a smaller </w:t>
      </w:r>
      <w:r w:rsidR="00BD6718">
        <w:t>but</w:t>
      </w:r>
      <w:r w:rsidR="00BD6718" w:rsidRPr="00500F57">
        <w:t xml:space="preserve"> </w:t>
      </w:r>
      <w:r w:rsidRPr="00500F57">
        <w:t>still signif</w:t>
      </w:r>
      <w:r w:rsidR="006078E4" w:rsidRPr="00500F57">
        <w:t>icant contribution to activity.</w:t>
      </w:r>
      <w:r w:rsidR="00BD6718" w:rsidRPr="00500F57">
        <w:rPr>
          <w:rStyle w:val="FootnoteReference"/>
        </w:rPr>
        <w:footnoteReference w:id="5"/>
      </w:r>
      <w:r w:rsidRPr="00500F57">
        <w:t xml:space="preserve"> </w:t>
      </w:r>
      <w:r w:rsidR="006078E4" w:rsidRPr="00500F57">
        <w:t xml:space="preserve">Much of </w:t>
      </w:r>
      <w:r w:rsidR="00BD6718">
        <w:t>it</w:t>
      </w:r>
      <w:r w:rsidR="006078E4" w:rsidRPr="00500F57">
        <w:t xml:space="preserve"> is i</w:t>
      </w:r>
      <w:r w:rsidRPr="00500F57">
        <w:t>ntra</w:t>
      </w:r>
      <w:r w:rsidR="006078E4" w:rsidRPr="00500F57">
        <w:t>state tourism</w:t>
      </w:r>
      <w:r w:rsidR="00BD6718">
        <w:t>,</w:t>
      </w:r>
      <w:r w:rsidR="006078E4" w:rsidRPr="00500F57">
        <w:t xml:space="preserve"> which reflects the</w:t>
      </w:r>
      <w:r w:rsidRPr="00500F57">
        <w:t xml:space="preserve"> </w:t>
      </w:r>
      <w:r w:rsidR="00BD6718">
        <w:t>local</w:t>
      </w:r>
      <w:r w:rsidR="00BD6718" w:rsidRPr="00500F57">
        <w:t xml:space="preserve"> </w:t>
      </w:r>
      <w:r w:rsidR="005404CC" w:rsidRPr="00500F57">
        <w:t>preferences</w:t>
      </w:r>
      <w:r w:rsidRPr="00500F57">
        <w:t xml:space="preserve"> of Victorians in spending their money.</w:t>
      </w:r>
      <w:r w:rsidR="00D55005" w:rsidRPr="00500F57">
        <w:t xml:space="preserve"> </w:t>
      </w:r>
      <w:r w:rsidRPr="00500F57">
        <w:t xml:space="preserve">Interstate tourism expenditure </w:t>
      </w:r>
      <w:r w:rsidR="006078E4" w:rsidRPr="00500F57">
        <w:t xml:space="preserve">involving active recreation </w:t>
      </w:r>
      <w:r w:rsidR="00BD6718">
        <w:t>contributes</w:t>
      </w:r>
      <w:r w:rsidR="00BD6718" w:rsidRPr="00500F57">
        <w:t xml:space="preserve"> </w:t>
      </w:r>
      <w:r w:rsidRPr="00500F57">
        <w:t>some $</w:t>
      </w:r>
      <w:r w:rsidR="00D93F64">
        <w:t>1.0</w:t>
      </w:r>
      <w:r w:rsidR="00D55005" w:rsidRPr="00500F57">
        <w:t> b</w:t>
      </w:r>
      <w:r w:rsidRPr="00500F57">
        <w:t>illion</w:t>
      </w:r>
      <w:r w:rsidR="006078E4" w:rsidRPr="00500F57">
        <w:t xml:space="preserve"> each year </w:t>
      </w:r>
      <w:r w:rsidR="00BD6718">
        <w:t>to</w:t>
      </w:r>
      <w:r w:rsidR="00BD6718" w:rsidRPr="00500F57">
        <w:t xml:space="preserve"> </w:t>
      </w:r>
      <w:r w:rsidR="006078E4" w:rsidRPr="00500F57">
        <w:t>the Victorian economy.</w:t>
      </w:r>
      <w:r w:rsidRPr="00500F57">
        <w:t xml:space="preserve"> General expenditure by Victorians on active recreation activities, including on vehicles and equipment, </w:t>
      </w:r>
      <w:r w:rsidR="00BD6718">
        <w:t>totals</w:t>
      </w:r>
      <w:r w:rsidR="00BD6718" w:rsidRPr="00500F57">
        <w:t xml:space="preserve"> </w:t>
      </w:r>
      <w:r w:rsidRPr="00500F57">
        <w:t>some $</w:t>
      </w:r>
      <w:r w:rsidR="00FF1BAB" w:rsidRPr="00500F57">
        <w:t>4.</w:t>
      </w:r>
      <w:r w:rsidR="00D93F64">
        <w:t>1</w:t>
      </w:r>
      <w:r w:rsidR="00D93F64" w:rsidRPr="00500F57">
        <w:t> </w:t>
      </w:r>
      <w:r w:rsidR="00D55005" w:rsidRPr="00500F57">
        <w:t>b</w:t>
      </w:r>
      <w:r w:rsidRPr="00500F57">
        <w:t>illion.</w:t>
      </w:r>
      <w:r w:rsidR="00D55005" w:rsidRPr="00500F57">
        <w:t xml:space="preserve"> </w:t>
      </w:r>
      <w:r w:rsidRPr="00500F57">
        <w:t xml:space="preserve">Of this, </w:t>
      </w:r>
      <w:r w:rsidR="006078E4" w:rsidRPr="00500F57">
        <w:t xml:space="preserve">we estimate </w:t>
      </w:r>
      <w:r w:rsidR="00BD6718">
        <w:t>that about</w:t>
      </w:r>
      <w:r w:rsidRPr="00500F57">
        <w:t xml:space="preserve"> $1.</w:t>
      </w:r>
      <w:r w:rsidR="00D55005" w:rsidRPr="00500F57">
        <w:t>1 b</w:t>
      </w:r>
      <w:r w:rsidRPr="00500F57">
        <w:t>illion</w:t>
      </w:r>
      <w:r w:rsidR="006078E4" w:rsidRPr="00500F57">
        <w:t xml:space="preserve"> each year is on equip</w:t>
      </w:r>
      <w:r w:rsidRPr="00500F57">
        <w:t>ment</w:t>
      </w:r>
      <w:r w:rsidR="006078E4" w:rsidRPr="00500F57">
        <w:t xml:space="preserve"> purchased primarily for active recreation</w:t>
      </w:r>
      <w:r w:rsidRPr="00500F57">
        <w:t>.</w:t>
      </w:r>
    </w:p>
    <w:p w:rsidR="005A7653" w:rsidRDefault="005A7653">
      <w:pPr>
        <w:keepLines w:val="0"/>
        <w:spacing w:after="0" w:line="240" w:lineRule="auto"/>
        <w:rPr>
          <w:rFonts w:eastAsia="Times New Roman"/>
          <w:bCs/>
          <w:noProof/>
          <w:color w:val="53565A"/>
          <w:spacing w:val="0"/>
        </w:rPr>
      </w:pPr>
      <w:r>
        <w:br w:type="page"/>
      </w:r>
    </w:p>
    <w:p w:rsidR="000E1092" w:rsidRPr="00500F57" w:rsidRDefault="000E1092" w:rsidP="00737DF6">
      <w:pPr>
        <w:pStyle w:val="Caption"/>
      </w:pPr>
      <w:r w:rsidRPr="00500F57">
        <w:lastRenderedPageBreak/>
        <w:t>Table</w:t>
      </w:r>
      <w:r w:rsidR="005A7653">
        <w:t xml:space="preserve"> 9</w:t>
      </w:r>
      <w:r w:rsidRPr="00500F57">
        <w:t>:</w:t>
      </w:r>
      <w:r w:rsidR="00D55005" w:rsidRPr="00500F57">
        <w:t xml:space="preserve"> </w:t>
      </w:r>
      <w:r w:rsidRPr="00500F57">
        <w:t>Equipment and recreation expenditure</w:t>
      </w:r>
      <w:r w:rsidR="00262D50" w:rsidRPr="00500F57">
        <w:t xml:space="preserve"> consumer spending</w:t>
      </w:r>
      <w:r w:rsidR="00DD5AFE" w:rsidRPr="00500F57">
        <w:t xml:space="preserve"> (direct and indirect)</w:t>
      </w:r>
    </w:p>
    <w:tbl>
      <w:tblPr>
        <w:tblW w:w="4170" w:type="pct"/>
        <w:tblInd w:w="108" w:type="dxa"/>
        <w:tblBorders>
          <w:top w:val="single" w:sz="4" w:space="0" w:color="A6A6A6"/>
          <w:bottom w:val="single" w:sz="4" w:space="0" w:color="A6A6A6"/>
          <w:insideH w:val="single" w:sz="4" w:space="0" w:color="A6A6A6"/>
        </w:tblBorders>
        <w:tblLayout w:type="fixed"/>
        <w:tblLook w:val="04A0" w:firstRow="1" w:lastRow="0" w:firstColumn="1" w:lastColumn="0" w:noHBand="0" w:noVBand="1"/>
      </w:tblPr>
      <w:tblGrid>
        <w:gridCol w:w="6661"/>
        <w:gridCol w:w="1840"/>
        <w:gridCol w:w="1702"/>
        <w:gridCol w:w="2129"/>
      </w:tblGrid>
      <w:tr w:rsidR="00B73093" w:rsidRPr="00F90D20" w:rsidTr="007C0708">
        <w:tc>
          <w:tcPr>
            <w:tcW w:w="2701" w:type="pct"/>
          </w:tcPr>
          <w:p w:rsidR="00B16494" w:rsidRPr="00F90D20" w:rsidRDefault="007C0708" w:rsidP="002F27A9">
            <w:pPr>
              <w:pStyle w:val="Tablerow"/>
            </w:pPr>
            <w:r w:rsidRPr="00500F57">
              <w:t>Equipment and recreation expenditure consumer spending (direct and indirect)</w:t>
            </w:r>
          </w:p>
        </w:tc>
        <w:tc>
          <w:tcPr>
            <w:tcW w:w="746" w:type="pct"/>
            <w:vAlign w:val="bottom"/>
          </w:tcPr>
          <w:p w:rsidR="00B16494" w:rsidRPr="00F90D20" w:rsidRDefault="00B16494" w:rsidP="00B73093">
            <w:pPr>
              <w:pStyle w:val="Tablerow"/>
            </w:pPr>
            <w:r w:rsidRPr="00F90D20">
              <w:t>Expenditure</w:t>
            </w:r>
            <w:r w:rsidR="00B73093">
              <w:br/>
            </w:r>
            <w:r w:rsidRPr="00F90D20">
              <w:t>($ billion)</w:t>
            </w:r>
          </w:p>
        </w:tc>
        <w:tc>
          <w:tcPr>
            <w:tcW w:w="690" w:type="pct"/>
            <w:vAlign w:val="bottom"/>
          </w:tcPr>
          <w:p w:rsidR="00B16494" w:rsidRPr="00F90D20" w:rsidRDefault="00B16494" w:rsidP="00B73093">
            <w:pPr>
              <w:pStyle w:val="Tablerow"/>
            </w:pPr>
            <w:r w:rsidRPr="00F90D20">
              <w:t>GVA</w:t>
            </w:r>
            <w:r w:rsidR="00B73093">
              <w:br/>
            </w:r>
            <w:r w:rsidRPr="00F90D20">
              <w:t>($ billion)</w:t>
            </w:r>
          </w:p>
        </w:tc>
        <w:tc>
          <w:tcPr>
            <w:tcW w:w="863" w:type="pct"/>
            <w:vAlign w:val="bottom"/>
          </w:tcPr>
          <w:p w:rsidR="00B16494" w:rsidRPr="00F90D20" w:rsidRDefault="00B73093" w:rsidP="002F27A9">
            <w:pPr>
              <w:pStyle w:val="Tablerow"/>
            </w:pPr>
            <w:r>
              <w:t>FTE</w:t>
            </w:r>
            <w:r>
              <w:br/>
            </w:r>
            <w:r w:rsidR="00B16494" w:rsidRPr="00F90D20">
              <w:t>positions</w:t>
            </w:r>
          </w:p>
        </w:tc>
      </w:tr>
      <w:tr w:rsidR="00B73093" w:rsidRPr="00F90D20" w:rsidTr="007C0708">
        <w:tc>
          <w:tcPr>
            <w:tcW w:w="2701" w:type="pct"/>
          </w:tcPr>
          <w:p w:rsidR="00B16494" w:rsidRPr="00F90D20" w:rsidRDefault="00B16494" w:rsidP="002F27A9">
            <w:pPr>
              <w:pStyle w:val="Tablerow"/>
            </w:pPr>
            <w:r w:rsidRPr="00F90D20">
              <w:t>Total</w:t>
            </w:r>
          </w:p>
        </w:tc>
        <w:tc>
          <w:tcPr>
            <w:tcW w:w="746" w:type="pct"/>
            <w:vAlign w:val="bottom"/>
          </w:tcPr>
          <w:p w:rsidR="00B16494" w:rsidRPr="00F90D20" w:rsidRDefault="00B16494" w:rsidP="002F27A9">
            <w:pPr>
              <w:pStyle w:val="Tablerow"/>
            </w:pPr>
            <w:r w:rsidRPr="00F90D20">
              <w:t>$7.9</w:t>
            </w:r>
          </w:p>
        </w:tc>
        <w:tc>
          <w:tcPr>
            <w:tcW w:w="690" w:type="pct"/>
            <w:vAlign w:val="bottom"/>
          </w:tcPr>
          <w:p w:rsidR="00B16494" w:rsidRPr="00F90D20" w:rsidRDefault="00B16494" w:rsidP="002F27A9">
            <w:pPr>
              <w:pStyle w:val="Tablerow"/>
            </w:pPr>
            <w:r w:rsidRPr="00F90D20">
              <w:t>$7.8</w:t>
            </w:r>
          </w:p>
        </w:tc>
        <w:tc>
          <w:tcPr>
            <w:tcW w:w="863" w:type="pct"/>
            <w:vAlign w:val="bottom"/>
          </w:tcPr>
          <w:p w:rsidR="00B16494" w:rsidRPr="00F90D20" w:rsidRDefault="00B16494" w:rsidP="002F27A9">
            <w:pPr>
              <w:pStyle w:val="Tablerow"/>
            </w:pPr>
            <w:r w:rsidRPr="00F90D20">
              <w:t>47,900</w:t>
            </w:r>
          </w:p>
        </w:tc>
      </w:tr>
      <w:tr w:rsidR="00B73093" w:rsidRPr="00F90D20" w:rsidTr="007C0708">
        <w:tc>
          <w:tcPr>
            <w:tcW w:w="2701" w:type="pct"/>
          </w:tcPr>
          <w:p w:rsidR="00B16494" w:rsidRPr="00F90D20" w:rsidRDefault="00B16494" w:rsidP="002F27A9">
            <w:pPr>
              <w:pStyle w:val="Tablerow"/>
            </w:pPr>
            <w:r w:rsidRPr="00F90D20">
              <w:t>Tourism intrastate</w:t>
            </w:r>
          </w:p>
        </w:tc>
        <w:tc>
          <w:tcPr>
            <w:tcW w:w="746" w:type="pct"/>
            <w:vAlign w:val="bottom"/>
          </w:tcPr>
          <w:p w:rsidR="00B16494" w:rsidRPr="00F90D20" w:rsidRDefault="00B16494" w:rsidP="002F27A9">
            <w:pPr>
              <w:pStyle w:val="Tablerow"/>
            </w:pPr>
            <w:r w:rsidRPr="00F90D20">
              <w:t>$2.9</w:t>
            </w:r>
          </w:p>
        </w:tc>
        <w:tc>
          <w:tcPr>
            <w:tcW w:w="690" w:type="pct"/>
            <w:vAlign w:val="bottom"/>
          </w:tcPr>
          <w:p w:rsidR="00B16494" w:rsidRPr="00F90D20" w:rsidRDefault="00B16494" w:rsidP="002F27A9">
            <w:pPr>
              <w:pStyle w:val="Tablerow"/>
            </w:pPr>
            <w:r w:rsidRPr="00F90D20">
              <w:t>$2.8</w:t>
            </w:r>
          </w:p>
        </w:tc>
        <w:tc>
          <w:tcPr>
            <w:tcW w:w="863" w:type="pct"/>
            <w:vAlign w:val="bottom"/>
          </w:tcPr>
          <w:p w:rsidR="00B16494" w:rsidRPr="00F90D20" w:rsidRDefault="00B16494" w:rsidP="002F27A9">
            <w:pPr>
              <w:pStyle w:val="Tablerow"/>
            </w:pPr>
            <w:r w:rsidRPr="00F90D20">
              <w:t>17,400</w:t>
            </w:r>
          </w:p>
        </w:tc>
      </w:tr>
      <w:tr w:rsidR="00B73093" w:rsidRPr="00F90D20" w:rsidTr="007C0708">
        <w:tc>
          <w:tcPr>
            <w:tcW w:w="2701" w:type="pct"/>
          </w:tcPr>
          <w:p w:rsidR="00B16494" w:rsidRPr="00F90D20" w:rsidRDefault="00B16494" w:rsidP="002F27A9">
            <w:pPr>
              <w:pStyle w:val="Tablerow"/>
            </w:pPr>
            <w:r w:rsidRPr="00F90D20">
              <w:t>Tourism interstate</w:t>
            </w:r>
          </w:p>
        </w:tc>
        <w:tc>
          <w:tcPr>
            <w:tcW w:w="746" w:type="pct"/>
            <w:vAlign w:val="bottom"/>
          </w:tcPr>
          <w:p w:rsidR="00B16494" w:rsidRPr="00F90D20" w:rsidRDefault="00B16494" w:rsidP="002F27A9">
            <w:pPr>
              <w:pStyle w:val="Tablerow"/>
            </w:pPr>
            <w:r w:rsidRPr="00F90D20">
              <w:t>$1.0</w:t>
            </w:r>
          </w:p>
        </w:tc>
        <w:tc>
          <w:tcPr>
            <w:tcW w:w="690" w:type="pct"/>
            <w:vAlign w:val="bottom"/>
          </w:tcPr>
          <w:p w:rsidR="00B16494" w:rsidRPr="00F90D20" w:rsidRDefault="00B16494" w:rsidP="002F27A9">
            <w:pPr>
              <w:pStyle w:val="Tablerow"/>
            </w:pPr>
            <w:r w:rsidRPr="00F90D20">
              <w:t>$0.9</w:t>
            </w:r>
          </w:p>
        </w:tc>
        <w:tc>
          <w:tcPr>
            <w:tcW w:w="863" w:type="pct"/>
            <w:vAlign w:val="bottom"/>
          </w:tcPr>
          <w:p w:rsidR="00B16494" w:rsidRPr="00F90D20" w:rsidRDefault="00B16494" w:rsidP="002F27A9">
            <w:pPr>
              <w:pStyle w:val="Tablerow"/>
            </w:pPr>
            <w:r w:rsidRPr="00F90D20">
              <w:t>5,700</w:t>
            </w:r>
          </w:p>
        </w:tc>
      </w:tr>
      <w:tr w:rsidR="00B73093" w:rsidRPr="00F90D20" w:rsidTr="007C0708">
        <w:tc>
          <w:tcPr>
            <w:tcW w:w="2701" w:type="pct"/>
          </w:tcPr>
          <w:p w:rsidR="00B16494" w:rsidRPr="00F90D20" w:rsidRDefault="00B16494" w:rsidP="002F27A9">
            <w:pPr>
              <w:pStyle w:val="Tablerow"/>
            </w:pPr>
            <w:r w:rsidRPr="00F90D20">
              <w:t>General expenditure</w:t>
            </w:r>
          </w:p>
        </w:tc>
        <w:tc>
          <w:tcPr>
            <w:tcW w:w="746" w:type="pct"/>
            <w:vAlign w:val="bottom"/>
          </w:tcPr>
          <w:p w:rsidR="00B16494" w:rsidRPr="00F90D20" w:rsidRDefault="00B16494" w:rsidP="002F27A9">
            <w:pPr>
              <w:pStyle w:val="Tablerow"/>
            </w:pPr>
            <w:r w:rsidRPr="00F90D20">
              <w:t>$4.1</w:t>
            </w:r>
          </w:p>
        </w:tc>
        <w:tc>
          <w:tcPr>
            <w:tcW w:w="690" w:type="pct"/>
            <w:vAlign w:val="bottom"/>
          </w:tcPr>
          <w:p w:rsidR="00B16494" w:rsidRPr="00F90D20" w:rsidRDefault="00B16494" w:rsidP="002F27A9">
            <w:pPr>
              <w:pStyle w:val="Tablerow"/>
            </w:pPr>
            <w:r w:rsidRPr="00F90D20">
              <w:t>$4.0</w:t>
            </w:r>
          </w:p>
        </w:tc>
        <w:tc>
          <w:tcPr>
            <w:tcW w:w="863" w:type="pct"/>
            <w:vAlign w:val="bottom"/>
          </w:tcPr>
          <w:p w:rsidR="00B16494" w:rsidRPr="00F90D20" w:rsidRDefault="00B16494" w:rsidP="002F27A9">
            <w:pPr>
              <w:pStyle w:val="Tablerow"/>
            </w:pPr>
            <w:r w:rsidRPr="00F90D20">
              <w:t>24,800</w:t>
            </w:r>
          </w:p>
        </w:tc>
      </w:tr>
    </w:tbl>
    <w:p w:rsidR="00D55005" w:rsidRPr="00500F57" w:rsidRDefault="00262D50" w:rsidP="00B73093">
      <w:pPr>
        <w:pStyle w:val="Heading2"/>
      </w:pPr>
      <w:r w:rsidRPr="00B73093">
        <w:t>Infrastructure</w:t>
      </w:r>
    </w:p>
    <w:p w:rsidR="00D55005" w:rsidRPr="00500F57" w:rsidRDefault="00262D50" w:rsidP="002F27A9">
      <w:r w:rsidRPr="00500F57">
        <w:t>Victoria’s active recreation sector is supported by extensive public and private infrastructure. Th</w:t>
      </w:r>
      <w:r w:rsidR="00205AA7">
        <w:t>e</w:t>
      </w:r>
      <w:r w:rsidRPr="00500F57">
        <w:t xml:space="preserve"> infrastructure includes outdoor activity provider infrastructure</w:t>
      </w:r>
      <w:r w:rsidR="00205AA7">
        <w:t>,</w:t>
      </w:r>
      <w:r w:rsidRPr="00500F57">
        <w:t xml:space="preserve"> such as camps and activity grounds, ‘grey’ infrastructure</w:t>
      </w:r>
      <w:r w:rsidR="00205AA7">
        <w:t xml:space="preserve">, </w:t>
      </w:r>
      <w:r w:rsidRPr="00500F57">
        <w:t>such as bicycle and walking trails, and green infrastructure</w:t>
      </w:r>
      <w:r w:rsidR="00205AA7">
        <w:t xml:space="preserve">, which is </w:t>
      </w:r>
      <w:r w:rsidRPr="00500F57">
        <w:t xml:space="preserve">the natural environment where the </w:t>
      </w:r>
      <w:r w:rsidR="00087FA1" w:rsidRPr="00500F57">
        <w:t xml:space="preserve">active recreation </w:t>
      </w:r>
      <w:r w:rsidRPr="00500F57">
        <w:t>activities occur.</w:t>
      </w:r>
    </w:p>
    <w:p w:rsidR="00262D50" w:rsidRPr="00500F57" w:rsidRDefault="00262D50" w:rsidP="002F27A9">
      <w:r w:rsidRPr="00500F57">
        <w:t xml:space="preserve">In addition, local government spends significant resources in developing and </w:t>
      </w:r>
      <w:r w:rsidR="005404CC" w:rsidRPr="00500F57">
        <w:t>maintaining recreation</w:t>
      </w:r>
      <w:r w:rsidRPr="00500F57">
        <w:t xml:space="preserve"> centres, many of which include pools.</w:t>
      </w:r>
    </w:p>
    <w:p w:rsidR="00262D50" w:rsidRPr="00500F57" w:rsidRDefault="00262D50" w:rsidP="002F27A9">
      <w:r w:rsidRPr="00500F57">
        <w:t>Public and private infrastructure support</w:t>
      </w:r>
      <w:r w:rsidR="00205AA7">
        <w:t>s</w:t>
      </w:r>
      <w:r w:rsidRPr="00500F57">
        <w:t xml:space="preserve"> Victoria’s economy and add</w:t>
      </w:r>
      <w:r w:rsidR="00205AA7">
        <w:t>s</w:t>
      </w:r>
      <w:r w:rsidRPr="00500F57">
        <w:t xml:space="preserve"> to our state’s natural and built asset base.</w:t>
      </w:r>
      <w:r w:rsidR="00D55005" w:rsidRPr="00500F57">
        <w:t xml:space="preserve"> </w:t>
      </w:r>
      <w:r w:rsidR="00205AA7">
        <w:t>It</w:t>
      </w:r>
      <w:r w:rsidRPr="00500F57">
        <w:t xml:space="preserve"> also generates demand </w:t>
      </w:r>
      <w:r w:rsidR="00205AA7" w:rsidRPr="00500F57">
        <w:t xml:space="preserve">for maintenance and other services </w:t>
      </w:r>
      <w:r w:rsidRPr="00500F57">
        <w:t xml:space="preserve">and </w:t>
      </w:r>
      <w:r w:rsidR="00205AA7">
        <w:t xml:space="preserve">resulting </w:t>
      </w:r>
      <w:r w:rsidRPr="00500F57">
        <w:t>economic activity.</w:t>
      </w:r>
    </w:p>
    <w:p w:rsidR="00D55005" w:rsidRDefault="00262D50" w:rsidP="002F27A9">
      <w:r w:rsidRPr="00500F57">
        <w:t>Based</w:t>
      </w:r>
      <w:r w:rsidRPr="00500F57">
        <w:rPr>
          <w:shd w:val="clear" w:color="auto" w:fill="FFFFFF" w:themeFill="background1"/>
        </w:rPr>
        <w:t xml:space="preserve"> on Treasury budget and Parks Victoria annual report data</w:t>
      </w:r>
      <w:r w:rsidR="00205AA7">
        <w:rPr>
          <w:shd w:val="clear" w:color="auto" w:fill="FFFFFF" w:themeFill="background1"/>
        </w:rPr>
        <w:t>,</w:t>
      </w:r>
      <w:r w:rsidRPr="00500F57">
        <w:rPr>
          <w:shd w:val="clear" w:color="auto" w:fill="FFFFFF" w:themeFill="background1"/>
        </w:rPr>
        <w:t xml:space="preserve"> </w:t>
      </w:r>
      <w:r w:rsidRPr="00500F57">
        <w:t>we estimate that the Victorian Government alone spen</w:t>
      </w:r>
      <w:r w:rsidR="00205AA7">
        <w:t>t</w:t>
      </w:r>
      <w:r w:rsidRPr="00500F57">
        <w:t xml:space="preserve"> some $</w:t>
      </w:r>
      <w:r w:rsidR="00D93F64" w:rsidRPr="00500F57">
        <w:t>3</w:t>
      </w:r>
      <w:r w:rsidR="00D93F64">
        <w:t>2</w:t>
      </w:r>
      <w:r w:rsidR="00D93F64" w:rsidRPr="00500F57">
        <w:t>0 </w:t>
      </w:r>
      <w:r w:rsidR="00D55005" w:rsidRPr="00500F57">
        <w:t>m</w:t>
      </w:r>
      <w:r w:rsidRPr="00500F57">
        <w:t xml:space="preserve">illion on specific active recreation infrastructure and </w:t>
      </w:r>
      <w:r w:rsidR="00205AA7">
        <w:t>o</w:t>
      </w:r>
      <w:r w:rsidRPr="00500F57">
        <w:t>n supporting public outdoor areas</w:t>
      </w:r>
      <w:r w:rsidRPr="00500F57">
        <w:rPr>
          <w:shd w:val="clear" w:color="auto" w:fill="FFFFFF" w:themeFill="background1"/>
        </w:rPr>
        <w:t xml:space="preserve"> in </w:t>
      </w:r>
      <w:r w:rsidR="00D93F64" w:rsidRPr="00500F57">
        <w:rPr>
          <w:shd w:val="clear" w:color="auto" w:fill="FFFFFF" w:themeFill="background1"/>
        </w:rPr>
        <w:t>201</w:t>
      </w:r>
      <w:r w:rsidR="00D93F64">
        <w:rPr>
          <w:shd w:val="clear" w:color="auto" w:fill="FFFFFF" w:themeFill="background1"/>
        </w:rPr>
        <w:t>6</w:t>
      </w:r>
      <w:r w:rsidR="00D55005" w:rsidRPr="00500F57">
        <w:rPr>
          <w:shd w:val="clear" w:color="auto" w:fill="FFFFFF" w:themeFill="background1"/>
        </w:rPr>
        <w:t>–</w:t>
      </w:r>
      <w:r w:rsidR="00D93F64" w:rsidRPr="00500F57">
        <w:rPr>
          <w:shd w:val="clear" w:color="auto" w:fill="FFFFFF" w:themeFill="background1"/>
        </w:rPr>
        <w:t>1</w:t>
      </w:r>
      <w:r w:rsidR="00D93F64">
        <w:rPr>
          <w:shd w:val="clear" w:color="auto" w:fill="FFFFFF" w:themeFill="background1"/>
        </w:rPr>
        <w:t>7</w:t>
      </w:r>
      <w:r w:rsidRPr="00500F57">
        <w:rPr>
          <w:shd w:val="clear" w:color="auto" w:fill="FFFFFF" w:themeFill="background1"/>
        </w:rPr>
        <w:t>.</w:t>
      </w:r>
      <w:r w:rsidR="00D55005" w:rsidRPr="00500F57">
        <w:t xml:space="preserve"> </w:t>
      </w:r>
      <w:r w:rsidRPr="00500F57">
        <w:t>Th</w:t>
      </w:r>
      <w:r w:rsidR="00205AA7">
        <w:t>o</w:t>
      </w:r>
      <w:r w:rsidRPr="00500F57">
        <w:t>se investments contributed to an estimate</w:t>
      </w:r>
      <w:r w:rsidR="00205AA7">
        <w:t>d</w:t>
      </w:r>
      <w:r w:rsidRPr="00500F57">
        <w:t xml:space="preserve"> $</w:t>
      </w:r>
      <w:r w:rsidR="00D93F64" w:rsidRPr="00500F57">
        <w:t>3</w:t>
      </w:r>
      <w:r w:rsidR="00D93F64">
        <w:t>0</w:t>
      </w:r>
      <w:r w:rsidR="00D93F64" w:rsidRPr="00500F57">
        <w:t>0 </w:t>
      </w:r>
      <w:r w:rsidR="00D55005" w:rsidRPr="00500F57">
        <w:t>m</w:t>
      </w:r>
      <w:r w:rsidRPr="00500F57">
        <w:t>illion in G</w:t>
      </w:r>
      <w:r w:rsidR="00205AA7">
        <w:t>VA</w:t>
      </w:r>
      <w:r w:rsidRPr="00500F57">
        <w:t xml:space="preserve"> an</w:t>
      </w:r>
      <w:r w:rsidR="006078E4" w:rsidRPr="00500F57">
        <w:t xml:space="preserve">d some </w:t>
      </w:r>
      <w:r w:rsidR="00D93F64">
        <w:t>2</w:t>
      </w:r>
      <w:r w:rsidR="006078E4" w:rsidRPr="00500F57">
        <w:t>,</w:t>
      </w:r>
      <w:r w:rsidR="00D93F64">
        <w:t>80</w:t>
      </w:r>
      <w:r w:rsidR="00D93F64" w:rsidRPr="00500F57">
        <w:t>0 </w:t>
      </w:r>
      <w:r w:rsidR="00D55005" w:rsidRPr="00500F57">
        <w:t>F</w:t>
      </w:r>
      <w:r w:rsidR="006078E4" w:rsidRPr="00500F57">
        <w:t>TE</w:t>
      </w:r>
      <w:r w:rsidR="007C32FF">
        <w:t xml:space="preserve"> position</w:t>
      </w:r>
      <w:r w:rsidR="006078E4" w:rsidRPr="00500F57">
        <w:t xml:space="preserve">s in Victoria. This is a partial reflection of the economic contribution of active recreation infrastructure in </w:t>
      </w:r>
      <w:r w:rsidR="007C32FF">
        <w:t>the state</w:t>
      </w:r>
      <w:r w:rsidR="006078E4" w:rsidRPr="00500F57">
        <w:t>.</w:t>
      </w:r>
    </w:p>
    <w:p w:rsidR="000E1092" w:rsidRPr="00500F57" w:rsidRDefault="000E1092" w:rsidP="002F27A9">
      <w:pPr>
        <w:pStyle w:val="Heading2"/>
      </w:pPr>
      <w:r w:rsidRPr="00500F57">
        <w:t>Economic contribution</w:t>
      </w:r>
      <w:r w:rsidR="00205AA7">
        <w:t>,</w:t>
      </w:r>
      <w:r w:rsidRPr="00500F57">
        <w:t xml:space="preserve"> by region</w:t>
      </w:r>
    </w:p>
    <w:p w:rsidR="00D55005" w:rsidRPr="00500F57" w:rsidRDefault="000E1092" w:rsidP="002F27A9">
      <w:r w:rsidRPr="00500F57">
        <w:t xml:space="preserve">Our economic contribution analysis </w:t>
      </w:r>
      <w:r w:rsidR="007E3C38" w:rsidRPr="00500F57">
        <w:t>of</w:t>
      </w:r>
      <w:r w:rsidRPr="00500F57">
        <w:t xml:space="preserve"> the Victoria</w:t>
      </w:r>
      <w:r w:rsidR="006B7343" w:rsidRPr="00500F57">
        <w:t>n DHHS</w:t>
      </w:r>
      <w:r w:rsidR="00540735" w:rsidRPr="00500F57">
        <w:t xml:space="preserve"> areas</w:t>
      </w:r>
      <w:r w:rsidRPr="00500F57">
        <w:t xml:space="preserve"> </w:t>
      </w:r>
      <w:r w:rsidR="00205AA7">
        <w:t>found</w:t>
      </w:r>
      <w:r w:rsidR="00205AA7" w:rsidRPr="00500F57">
        <w:t xml:space="preserve"> </w:t>
      </w:r>
      <w:r w:rsidRPr="00500F57">
        <w:t xml:space="preserve">that </w:t>
      </w:r>
      <w:r w:rsidR="00307165" w:rsidRPr="00500F57">
        <w:t>active recreation</w:t>
      </w:r>
      <w:r w:rsidRPr="00500F57">
        <w:t xml:space="preserve"> make</w:t>
      </w:r>
      <w:r w:rsidR="00087FA1" w:rsidRPr="00500F57">
        <w:t>s</w:t>
      </w:r>
      <w:r w:rsidRPr="00500F57">
        <w:t xml:space="preserve"> significant contributions to many of </w:t>
      </w:r>
      <w:r w:rsidR="007C32FF">
        <w:t>the state’s</w:t>
      </w:r>
      <w:r w:rsidR="007C32FF" w:rsidRPr="00500F57">
        <w:t xml:space="preserve"> </w:t>
      </w:r>
      <w:r w:rsidR="00D63A0D" w:rsidRPr="00500F57">
        <w:t>regional economies.</w:t>
      </w:r>
      <w:r w:rsidR="00D55005" w:rsidRPr="00500F57">
        <w:t xml:space="preserve"> </w:t>
      </w:r>
      <w:r w:rsidR="00D63A0D" w:rsidRPr="00500F57">
        <w:t>Table</w:t>
      </w:r>
      <w:r w:rsidR="00205AA7">
        <w:t>s</w:t>
      </w:r>
      <w:r w:rsidR="00D63A0D" w:rsidRPr="00500F57">
        <w:t xml:space="preserve"> 11</w:t>
      </w:r>
      <w:r w:rsidR="00205AA7">
        <w:t xml:space="preserve"> and 12</w:t>
      </w:r>
      <w:r w:rsidR="007E3C38" w:rsidRPr="00500F57">
        <w:t xml:space="preserve"> </w:t>
      </w:r>
      <w:r w:rsidRPr="00500F57">
        <w:t xml:space="preserve">show </w:t>
      </w:r>
      <w:r w:rsidR="00A31CC2" w:rsidRPr="00500F57">
        <w:t xml:space="preserve">active recreation </w:t>
      </w:r>
      <w:r w:rsidRPr="00500F57">
        <w:t xml:space="preserve">participation </w:t>
      </w:r>
      <w:r w:rsidR="007E3C38" w:rsidRPr="00500F57">
        <w:t>hours</w:t>
      </w:r>
      <w:r w:rsidRPr="00500F57">
        <w:t xml:space="preserve">, </w:t>
      </w:r>
      <w:r w:rsidR="0049614F" w:rsidRPr="00500F57">
        <w:t>GVA</w:t>
      </w:r>
      <w:r w:rsidRPr="00500F57">
        <w:t xml:space="preserve"> and FTE contribution</w:t>
      </w:r>
      <w:r w:rsidR="007C32FF">
        <w:t>s</w:t>
      </w:r>
      <w:r w:rsidRPr="00500F57">
        <w:t xml:space="preserve"> by</w:t>
      </w:r>
      <w:r w:rsidR="006B7343" w:rsidRPr="00500F57">
        <w:t xml:space="preserve"> DHHS area</w:t>
      </w:r>
      <w:r w:rsidRPr="00500F57">
        <w:t>.</w:t>
      </w:r>
    </w:p>
    <w:p w:rsidR="00F90D20" w:rsidRDefault="000E1092" w:rsidP="002F27A9">
      <w:r w:rsidRPr="00500F57">
        <w:t xml:space="preserve">These estimates </w:t>
      </w:r>
      <w:r w:rsidR="007C32FF">
        <w:t>were</w:t>
      </w:r>
      <w:r w:rsidRPr="00500F57">
        <w:t xml:space="preserve"> developed using regional primary data where </w:t>
      </w:r>
      <w:r w:rsidR="00205AA7">
        <w:t xml:space="preserve">it was </w:t>
      </w:r>
      <w:r w:rsidRPr="00500F57">
        <w:t>available (for example</w:t>
      </w:r>
      <w:r w:rsidR="00205AA7">
        <w:t>,</w:t>
      </w:r>
      <w:r w:rsidRPr="00500F57">
        <w:t xml:space="preserve"> surveys of participation and expenditure completed by an industry group).</w:t>
      </w:r>
      <w:r w:rsidR="00D55005" w:rsidRPr="00500F57">
        <w:t xml:space="preserve"> </w:t>
      </w:r>
      <w:r w:rsidRPr="00500F57">
        <w:t xml:space="preserve">Where primary data </w:t>
      </w:r>
      <w:r w:rsidR="00205AA7">
        <w:t>wa</w:t>
      </w:r>
      <w:r w:rsidRPr="00500F57">
        <w:t xml:space="preserve">s not available for </w:t>
      </w:r>
      <w:r w:rsidR="00205AA7" w:rsidRPr="00500F57">
        <w:t>regions</w:t>
      </w:r>
      <w:r w:rsidR="00205AA7">
        <w:t xml:space="preserve">, </w:t>
      </w:r>
      <w:r w:rsidRPr="00500F57">
        <w:t xml:space="preserve">we used </w:t>
      </w:r>
      <w:r w:rsidR="00205AA7">
        <w:t>Australian Bureau of Statistics (</w:t>
      </w:r>
      <w:r w:rsidRPr="00500F57">
        <w:t>ABS</w:t>
      </w:r>
      <w:r w:rsidR="00205AA7">
        <w:t>)</w:t>
      </w:r>
      <w:r w:rsidRPr="00500F57">
        <w:t xml:space="preserve"> and </w:t>
      </w:r>
      <w:r w:rsidR="00205AA7">
        <w:t>Tourism Research Australia (</w:t>
      </w:r>
      <w:r w:rsidRPr="00500F57">
        <w:t>TRA</w:t>
      </w:r>
      <w:r w:rsidR="00205AA7">
        <w:t>)</w:t>
      </w:r>
      <w:r w:rsidRPr="00500F57">
        <w:t xml:space="preserve"> activity data and distributed activities by region</w:t>
      </w:r>
      <w:r w:rsidR="00205AA7">
        <w:t>,</w:t>
      </w:r>
      <w:r w:rsidRPr="00500F57">
        <w:t xml:space="preserve"> largely based on within-region </w:t>
      </w:r>
      <w:r w:rsidR="000F4EBF" w:rsidRPr="00500F57">
        <w:t>population</w:t>
      </w:r>
      <w:r w:rsidR="00205AA7">
        <w:t xml:space="preserve"> data</w:t>
      </w:r>
      <w:r w:rsidR="000F4EBF" w:rsidRPr="00500F57">
        <w:t>.</w:t>
      </w:r>
      <w:r w:rsidR="00D55005" w:rsidRPr="00500F57">
        <w:t xml:space="preserve"> </w:t>
      </w:r>
      <w:r w:rsidR="00A31CC2" w:rsidRPr="00500F57">
        <w:t>A</w:t>
      </w:r>
      <w:r w:rsidR="00205AA7">
        <w:t>ppendix</w:t>
      </w:r>
      <w:r w:rsidR="00A31CC2" w:rsidRPr="00500F57">
        <w:t xml:space="preserve"> C</w:t>
      </w:r>
      <w:r w:rsidR="00463CEB" w:rsidRPr="00500F57">
        <w:t xml:space="preserve"> discusses this disaggregation approach in more detail.</w:t>
      </w:r>
      <w:bookmarkStart w:id="69" w:name="_Ref464566302"/>
    </w:p>
    <w:p w:rsidR="000E1092" w:rsidRPr="00500F57" w:rsidRDefault="005A1F27" w:rsidP="00737DF6">
      <w:pPr>
        <w:pStyle w:val="Caption"/>
      </w:pPr>
      <w:r w:rsidRPr="00500F57">
        <w:lastRenderedPageBreak/>
        <w:t>Table</w:t>
      </w:r>
      <w:bookmarkEnd w:id="69"/>
      <w:r w:rsidR="005A7653">
        <w:t xml:space="preserve"> 10</w:t>
      </w:r>
      <w:r w:rsidR="000E1092" w:rsidRPr="00500F57">
        <w:t xml:space="preserve">: Regional </w:t>
      </w:r>
      <w:r w:rsidR="009E712B" w:rsidRPr="00500F57">
        <w:t>active recreation</w:t>
      </w:r>
      <w:r w:rsidR="000E1092" w:rsidRPr="00500F57">
        <w:t xml:space="preserve"> activity </w:t>
      </w:r>
      <w:r w:rsidR="007C32FF">
        <w:t>g</w:t>
      </w:r>
      <w:r w:rsidR="000E1092" w:rsidRPr="00500F57">
        <w:t xml:space="preserve">ross value-added (direct and indirect, $ billion) </w:t>
      </w:r>
    </w:p>
    <w:tbl>
      <w:tblPr>
        <w:tblW w:w="4826" w:type="pct"/>
        <w:tblInd w:w="108" w:type="dxa"/>
        <w:tblBorders>
          <w:insideH w:val="single" w:sz="4" w:space="0" w:color="808080" w:themeColor="background1" w:themeShade="80"/>
        </w:tblBorders>
        <w:tblLook w:val="04A0" w:firstRow="1" w:lastRow="0" w:firstColumn="1" w:lastColumn="0" w:noHBand="0" w:noVBand="1"/>
      </w:tblPr>
      <w:tblGrid>
        <w:gridCol w:w="4604"/>
        <w:gridCol w:w="1773"/>
        <w:gridCol w:w="2069"/>
        <w:gridCol w:w="3203"/>
        <w:gridCol w:w="2623"/>
      </w:tblGrid>
      <w:tr w:rsidR="00317A4B" w:rsidRPr="00F90D20" w:rsidTr="00317A4B">
        <w:trPr>
          <w:trHeight w:val="270"/>
          <w:tblHeader/>
        </w:trPr>
        <w:tc>
          <w:tcPr>
            <w:tcW w:w="1613" w:type="pct"/>
            <w:tcBorders>
              <w:top w:val="single" w:sz="4" w:space="0" w:color="808080" w:themeColor="background1" w:themeShade="80"/>
              <w:bottom w:val="single" w:sz="4" w:space="0" w:color="808080" w:themeColor="background1" w:themeShade="80"/>
            </w:tcBorders>
            <w:shd w:val="clear" w:color="auto" w:fill="auto"/>
            <w:vAlign w:val="bottom"/>
            <w:hideMark/>
          </w:tcPr>
          <w:p w:rsidR="0089004F" w:rsidRPr="007F02D6" w:rsidRDefault="0089004F" w:rsidP="002F27A9">
            <w:pPr>
              <w:pStyle w:val="Tablerow"/>
              <w:rPr>
                <w:b/>
              </w:rPr>
            </w:pPr>
            <w:r w:rsidRPr="007F02D6">
              <w:rPr>
                <w:b/>
              </w:rPr>
              <w:t>Sector</w:t>
            </w:r>
          </w:p>
        </w:tc>
        <w:tc>
          <w:tcPr>
            <w:tcW w:w="621" w:type="pct"/>
            <w:tcBorders>
              <w:top w:val="single" w:sz="4" w:space="0" w:color="808080" w:themeColor="background1" w:themeShade="80"/>
              <w:bottom w:val="single" w:sz="4" w:space="0" w:color="808080" w:themeColor="background1" w:themeShade="80"/>
            </w:tcBorders>
            <w:vAlign w:val="bottom"/>
          </w:tcPr>
          <w:p w:rsidR="0089004F" w:rsidRPr="007F02D6" w:rsidRDefault="0089004F" w:rsidP="002F27A9">
            <w:pPr>
              <w:pStyle w:val="Tablerow"/>
              <w:rPr>
                <w:b/>
              </w:rPr>
            </w:pPr>
            <w:r w:rsidRPr="007F02D6">
              <w:rPr>
                <w:b/>
              </w:rPr>
              <w:t>Local tourism</w:t>
            </w:r>
          </w:p>
        </w:tc>
        <w:tc>
          <w:tcPr>
            <w:tcW w:w="725" w:type="pct"/>
            <w:tcBorders>
              <w:top w:val="single" w:sz="4" w:space="0" w:color="808080" w:themeColor="background1" w:themeShade="80"/>
              <w:bottom w:val="single" w:sz="4" w:space="0" w:color="808080" w:themeColor="background1" w:themeShade="80"/>
            </w:tcBorders>
            <w:vAlign w:val="bottom"/>
          </w:tcPr>
          <w:p w:rsidR="0089004F" w:rsidRPr="007F02D6" w:rsidRDefault="0089004F" w:rsidP="002F27A9">
            <w:pPr>
              <w:pStyle w:val="Tablerow"/>
              <w:rPr>
                <w:b/>
              </w:rPr>
            </w:pPr>
            <w:r w:rsidRPr="007F02D6">
              <w:rPr>
                <w:b/>
              </w:rPr>
              <w:t>Interstate tourism</w:t>
            </w:r>
          </w:p>
        </w:tc>
        <w:tc>
          <w:tcPr>
            <w:tcW w:w="1122" w:type="pct"/>
            <w:tcBorders>
              <w:top w:val="single" w:sz="4" w:space="0" w:color="808080" w:themeColor="background1" w:themeShade="80"/>
              <w:bottom w:val="single" w:sz="4" w:space="0" w:color="808080" w:themeColor="background1" w:themeShade="80"/>
            </w:tcBorders>
            <w:vAlign w:val="bottom"/>
          </w:tcPr>
          <w:p w:rsidR="0089004F" w:rsidRPr="007F02D6" w:rsidRDefault="0089004F" w:rsidP="002F27A9">
            <w:pPr>
              <w:pStyle w:val="Tablerow"/>
              <w:rPr>
                <w:b/>
              </w:rPr>
            </w:pPr>
            <w:r w:rsidRPr="007F02D6">
              <w:rPr>
                <w:b/>
              </w:rPr>
              <w:t>Other consumer spending</w:t>
            </w:r>
          </w:p>
        </w:tc>
        <w:tc>
          <w:tcPr>
            <w:tcW w:w="919" w:type="pct"/>
            <w:tcBorders>
              <w:top w:val="single" w:sz="4" w:space="0" w:color="808080" w:themeColor="background1" w:themeShade="80"/>
              <w:bottom w:val="single" w:sz="4" w:space="0" w:color="808080" w:themeColor="background1" w:themeShade="80"/>
            </w:tcBorders>
            <w:shd w:val="clear" w:color="auto" w:fill="auto"/>
            <w:vAlign w:val="bottom"/>
            <w:hideMark/>
          </w:tcPr>
          <w:p w:rsidR="0089004F" w:rsidRPr="007F02D6" w:rsidRDefault="002D64C5" w:rsidP="002F27A9">
            <w:pPr>
              <w:pStyle w:val="Tablerow"/>
              <w:rPr>
                <w:b/>
              </w:rPr>
            </w:pPr>
            <w:r w:rsidRPr="007F02D6">
              <w:rPr>
                <w:b/>
              </w:rPr>
              <w:t>All spending</w:t>
            </w:r>
            <w:r w:rsidR="0089004F" w:rsidRPr="007F02D6">
              <w:rPr>
                <w:b/>
              </w:rPr>
              <w:t xml:space="preserve"> GVA</w:t>
            </w:r>
          </w:p>
        </w:tc>
      </w:tr>
      <w:tr w:rsidR="00317A4B" w:rsidRPr="00F90D20" w:rsidTr="00317A4B">
        <w:trPr>
          <w:trHeight w:val="270"/>
        </w:trPr>
        <w:tc>
          <w:tcPr>
            <w:tcW w:w="1613" w:type="pct"/>
            <w:tcBorders>
              <w:top w:val="single" w:sz="4" w:space="0" w:color="808080" w:themeColor="background1" w:themeShade="80"/>
            </w:tcBorders>
            <w:shd w:val="clear" w:color="auto" w:fill="auto"/>
            <w:vAlign w:val="bottom"/>
            <w:hideMark/>
          </w:tcPr>
          <w:p w:rsidR="0089004F" w:rsidRPr="00F90D20" w:rsidRDefault="0089004F" w:rsidP="002F27A9">
            <w:pPr>
              <w:pStyle w:val="Tablerow"/>
            </w:pPr>
            <w:r w:rsidRPr="00F90D20">
              <w:t>Victoria total</w:t>
            </w:r>
          </w:p>
        </w:tc>
        <w:tc>
          <w:tcPr>
            <w:tcW w:w="621" w:type="pct"/>
            <w:tcBorders>
              <w:top w:val="single" w:sz="4" w:space="0" w:color="808080" w:themeColor="background1" w:themeShade="80"/>
            </w:tcBorders>
            <w:vAlign w:val="bottom"/>
          </w:tcPr>
          <w:p w:rsidR="0089004F" w:rsidRPr="00F90D20" w:rsidRDefault="0089004F" w:rsidP="002F27A9">
            <w:pPr>
              <w:pStyle w:val="Tablerow"/>
            </w:pPr>
            <w:r w:rsidRPr="00F90D20">
              <w:t>2.</w:t>
            </w:r>
            <w:r w:rsidR="00D93F64" w:rsidRPr="00F90D20">
              <w:t>9</w:t>
            </w:r>
          </w:p>
        </w:tc>
        <w:tc>
          <w:tcPr>
            <w:tcW w:w="725" w:type="pct"/>
            <w:tcBorders>
              <w:top w:val="single" w:sz="4" w:space="0" w:color="808080" w:themeColor="background1" w:themeShade="80"/>
            </w:tcBorders>
            <w:vAlign w:val="bottom"/>
          </w:tcPr>
          <w:p w:rsidR="0089004F" w:rsidRPr="00F90D20" w:rsidRDefault="00132D4D" w:rsidP="002F27A9">
            <w:pPr>
              <w:pStyle w:val="Tablerow"/>
            </w:pPr>
            <w:r w:rsidRPr="00F90D20">
              <w:t>1.0</w:t>
            </w:r>
          </w:p>
        </w:tc>
        <w:tc>
          <w:tcPr>
            <w:tcW w:w="1122" w:type="pct"/>
            <w:tcBorders>
              <w:top w:val="single" w:sz="4" w:space="0" w:color="808080" w:themeColor="background1" w:themeShade="80"/>
            </w:tcBorders>
            <w:vAlign w:val="bottom"/>
          </w:tcPr>
          <w:p w:rsidR="0089004F" w:rsidRPr="00F90D20" w:rsidRDefault="002C5903" w:rsidP="002F27A9">
            <w:pPr>
              <w:pStyle w:val="Tablerow"/>
            </w:pPr>
            <w:r w:rsidRPr="00F90D20">
              <w:t>4.</w:t>
            </w:r>
            <w:r w:rsidR="00132D4D" w:rsidRPr="00F90D20">
              <w:t>1</w:t>
            </w:r>
          </w:p>
        </w:tc>
        <w:tc>
          <w:tcPr>
            <w:tcW w:w="919" w:type="pct"/>
            <w:tcBorders>
              <w:top w:val="single" w:sz="4" w:space="0" w:color="808080" w:themeColor="background1" w:themeShade="80"/>
            </w:tcBorders>
            <w:shd w:val="clear" w:color="auto" w:fill="auto"/>
            <w:vAlign w:val="bottom"/>
            <w:hideMark/>
          </w:tcPr>
          <w:p w:rsidR="0089004F" w:rsidRPr="00F90D20" w:rsidRDefault="0089004F" w:rsidP="002F27A9">
            <w:pPr>
              <w:pStyle w:val="Tablerow"/>
            </w:pPr>
            <w:r w:rsidRPr="00F90D20">
              <w:t>7</w:t>
            </w:r>
            <w:r w:rsidR="005A1F27" w:rsidRPr="00F90D20">
              <w:t>.</w:t>
            </w:r>
            <w:r w:rsidR="00132D4D" w:rsidRPr="00F90D20">
              <w:t>9</w:t>
            </w:r>
          </w:p>
        </w:tc>
      </w:tr>
      <w:tr w:rsidR="00317A4B" w:rsidRPr="00F90D20" w:rsidTr="00317A4B">
        <w:trPr>
          <w:trHeight w:val="176"/>
        </w:trPr>
        <w:tc>
          <w:tcPr>
            <w:tcW w:w="1613" w:type="pct"/>
            <w:shd w:val="clear" w:color="auto" w:fill="FFFFFF" w:themeFill="background1"/>
            <w:vAlign w:val="bottom"/>
            <w:hideMark/>
          </w:tcPr>
          <w:p w:rsidR="002D64C5" w:rsidRPr="00F90D20" w:rsidRDefault="002D64C5" w:rsidP="002F27A9">
            <w:pPr>
              <w:pStyle w:val="Tablerow"/>
            </w:pPr>
            <w:r w:rsidRPr="00F90D20">
              <w:t>Barwon</w:t>
            </w:r>
          </w:p>
        </w:tc>
        <w:tc>
          <w:tcPr>
            <w:tcW w:w="621" w:type="pct"/>
            <w:shd w:val="clear" w:color="auto" w:fill="FFFFFF" w:themeFill="background1"/>
            <w:vAlign w:val="bottom"/>
          </w:tcPr>
          <w:p w:rsidR="002D64C5" w:rsidRPr="00F90D20" w:rsidRDefault="002D64C5" w:rsidP="002F27A9">
            <w:pPr>
              <w:pStyle w:val="Tablerow"/>
            </w:pPr>
            <w:r w:rsidRPr="00F90D20">
              <w:t>0.5</w:t>
            </w:r>
          </w:p>
        </w:tc>
        <w:tc>
          <w:tcPr>
            <w:tcW w:w="725" w:type="pct"/>
            <w:shd w:val="clear" w:color="auto" w:fill="FFFFFF" w:themeFill="background1"/>
            <w:vAlign w:val="bottom"/>
          </w:tcPr>
          <w:p w:rsidR="002D64C5" w:rsidRPr="00F90D20" w:rsidRDefault="002D64C5" w:rsidP="002F27A9">
            <w:pPr>
              <w:pStyle w:val="Tablerow"/>
            </w:pPr>
            <w:r w:rsidRPr="00F90D20">
              <w:t>0.1</w:t>
            </w:r>
          </w:p>
        </w:tc>
        <w:tc>
          <w:tcPr>
            <w:tcW w:w="1122" w:type="pct"/>
            <w:shd w:val="clear" w:color="auto" w:fill="FFFFFF" w:themeFill="background1"/>
            <w:vAlign w:val="bottom"/>
          </w:tcPr>
          <w:p w:rsidR="002D64C5" w:rsidRPr="00F90D20" w:rsidRDefault="002D64C5" w:rsidP="002F27A9">
            <w:pPr>
              <w:pStyle w:val="Tablerow"/>
            </w:pPr>
            <w:r w:rsidRPr="00F90D20">
              <w:t>0.3</w:t>
            </w:r>
          </w:p>
        </w:tc>
        <w:tc>
          <w:tcPr>
            <w:tcW w:w="919" w:type="pct"/>
            <w:shd w:val="clear" w:color="auto" w:fill="FFFFFF" w:themeFill="background1"/>
            <w:vAlign w:val="bottom"/>
            <w:hideMark/>
          </w:tcPr>
          <w:p w:rsidR="002D64C5" w:rsidRPr="00F90D20" w:rsidRDefault="00132D4D" w:rsidP="002F27A9">
            <w:pPr>
              <w:pStyle w:val="Tablerow"/>
            </w:pPr>
            <w:r w:rsidRPr="00F90D20">
              <w:t>0.9</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Bayside Peninsula</w:t>
            </w:r>
          </w:p>
        </w:tc>
        <w:tc>
          <w:tcPr>
            <w:tcW w:w="621" w:type="pct"/>
            <w:shd w:val="clear" w:color="auto" w:fill="FFFFFF" w:themeFill="background1"/>
            <w:vAlign w:val="bottom"/>
          </w:tcPr>
          <w:p w:rsidR="002D64C5" w:rsidRPr="00F90D20" w:rsidRDefault="002D64C5" w:rsidP="002F27A9">
            <w:pPr>
              <w:pStyle w:val="Tablerow"/>
            </w:pPr>
            <w:r w:rsidRPr="00F90D20">
              <w:t>0.3</w:t>
            </w:r>
          </w:p>
        </w:tc>
        <w:tc>
          <w:tcPr>
            <w:tcW w:w="725" w:type="pct"/>
            <w:shd w:val="clear" w:color="auto" w:fill="FFFFFF" w:themeFill="background1"/>
            <w:vAlign w:val="bottom"/>
          </w:tcPr>
          <w:p w:rsidR="002D64C5" w:rsidRPr="00F90D20" w:rsidRDefault="002D64C5" w:rsidP="002F27A9">
            <w:pPr>
              <w:pStyle w:val="Tablerow"/>
            </w:pPr>
            <w:r w:rsidRPr="00F90D20">
              <w:t>0.1</w:t>
            </w:r>
          </w:p>
        </w:tc>
        <w:tc>
          <w:tcPr>
            <w:tcW w:w="1122" w:type="pct"/>
            <w:shd w:val="clear" w:color="auto" w:fill="FFFFFF" w:themeFill="background1"/>
            <w:vAlign w:val="bottom"/>
          </w:tcPr>
          <w:p w:rsidR="002D64C5" w:rsidRPr="00F90D20" w:rsidRDefault="002D64C5" w:rsidP="002F27A9">
            <w:pPr>
              <w:pStyle w:val="Tablerow"/>
            </w:pPr>
            <w:r w:rsidRPr="00F90D20">
              <w:t>0.</w:t>
            </w:r>
            <w:r w:rsidR="00132D4D" w:rsidRPr="00F90D20">
              <w:t>4</w:t>
            </w:r>
          </w:p>
        </w:tc>
        <w:tc>
          <w:tcPr>
            <w:tcW w:w="919" w:type="pct"/>
            <w:shd w:val="clear" w:color="auto" w:fill="FFFFFF" w:themeFill="background1"/>
            <w:vAlign w:val="bottom"/>
          </w:tcPr>
          <w:p w:rsidR="002D64C5" w:rsidRPr="00F90D20" w:rsidRDefault="002D64C5" w:rsidP="002F27A9">
            <w:pPr>
              <w:pStyle w:val="Tablerow"/>
            </w:pPr>
            <w:r w:rsidRPr="00F90D20">
              <w:t>0.7</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proofErr w:type="spellStart"/>
            <w:r w:rsidRPr="00F90D20">
              <w:t>Brimbank</w:t>
            </w:r>
            <w:proofErr w:type="spellEnd"/>
            <w:r w:rsidRPr="00F90D20">
              <w:t xml:space="preserve"> Melton</w:t>
            </w:r>
          </w:p>
        </w:tc>
        <w:tc>
          <w:tcPr>
            <w:tcW w:w="621" w:type="pct"/>
            <w:shd w:val="clear" w:color="auto" w:fill="FFFFFF" w:themeFill="background1"/>
            <w:vAlign w:val="bottom"/>
          </w:tcPr>
          <w:p w:rsidR="002D64C5" w:rsidRPr="00F90D20" w:rsidRDefault="002D64C5" w:rsidP="002F27A9">
            <w:pPr>
              <w:pStyle w:val="Tablerow"/>
            </w:pPr>
            <w:r w:rsidRPr="00F90D20">
              <w:t>0.0</w:t>
            </w:r>
          </w:p>
        </w:tc>
        <w:tc>
          <w:tcPr>
            <w:tcW w:w="725" w:type="pct"/>
            <w:shd w:val="clear" w:color="auto" w:fill="FFFFFF" w:themeFill="background1"/>
            <w:vAlign w:val="bottom"/>
          </w:tcPr>
          <w:p w:rsidR="002D64C5" w:rsidRPr="00F90D20" w:rsidRDefault="002D64C5" w:rsidP="002F27A9">
            <w:pPr>
              <w:pStyle w:val="Tablerow"/>
            </w:pPr>
            <w:r w:rsidRPr="00F90D20">
              <w:t>0.0</w:t>
            </w:r>
          </w:p>
        </w:tc>
        <w:tc>
          <w:tcPr>
            <w:tcW w:w="1122" w:type="pct"/>
            <w:shd w:val="clear" w:color="auto" w:fill="FFFFFF" w:themeFill="background1"/>
            <w:vAlign w:val="bottom"/>
          </w:tcPr>
          <w:p w:rsidR="002D64C5" w:rsidRPr="00F90D20" w:rsidRDefault="002D64C5" w:rsidP="002F27A9">
            <w:pPr>
              <w:pStyle w:val="Tablerow"/>
            </w:pPr>
            <w:r w:rsidRPr="00F90D20">
              <w:t>0.1</w:t>
            </w:r>
          </w:p>
        </w:tc>
        <w:tc>
          <w:tcPr>
            <w:tcW w:w="919" w:type="pct"/>
            <w:shd w:val="clear" w:color="auto" w:fill="FFFFFF" w:themeFill="background1"/>
            <w:vAlign w:val="bottom"/>
          </w:tcPr>
          <w:p w:rsidR="002D64C5" w:rsidRPr="00F90D20" w:rsidRDefault="002D64C5" w:rsidP="002F27A9">
            <w:pPr>
              <w:pStyle w:val="Tablerow"/>
            </w:pPr>
            <w:r w:rsidRPr="00F90D20">
              <w:t>0.1</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Central Highlands</w:t>
            </w:r>
          </w:p>
        </w:tc>
        <w:tc>
          <w:tcPr>
            <w:tcW w:w="621" w:type="pct"/>
            <w:shd w:val="clear" w:color="auto" w:fill="FFFFFF" w:themeFill="background1"/>
            <w:vAlign w:val="bottom"/>
          </w:tcPr>
          <w:p w:rsidR="002D64C5" w:rsidRPr="00F90D20" w:rsidRDefault="002D64C5" w:rsidP="002F27A9">
            <w:pPr>
              <w:pStyle w:val="Tablerow"/>
            </w:pPr>
            <w:r w:rsidRPr="00F90D20">
              <w:t>0.1</w:t>
            </w:r>
          </w:p>
        </w:tc>
        <w:tc>
          <w:tcPr>
            <w:tcW w:w="725" w:type="pct"/>
            <w:shd w:val="clear" w:color="auto" w:fill="FFFFFF" w:themeFill="background1"/>
            <w:vAlign w:val="bottom"/>
          </w:tcPr>
          <w:p w:rsidR="002D64C5" w:rsidRPr="00F90D20" w:rsidRDefault="002D64C5" w:rsidP="002F27A9">
            <w:pPr>
              <w:pStyle w:val="Tablerow"/>
            </w:pPr>
            <w:r w:rsidRPr="00F90D20">
              <w:t>0.0</w:t>
            </w:r>
          </w:p>
        </w:tc>
        <w:tc>
          <w:tcPr>
            <w:tcW w:w="1122" w:type="pct"/>
            <w:shd w:val="clear" w:color="auto" w:fill="FFFFFF" w:themeFill="background1"/>
            <w:vAlign w:val="bottom"/>
          </w:tcPr>
          <w:p w:rsidR="002D64C5" w:rsidRPr="00F90D20" w:rsidRDefault="002D64C5" w:rsidP="002F27A9">
            <w:pPr>
              <w:pStyle w:val="Tablerow"/>
            </w:pPr>
            <w:r w:rsidRPr="00F90D20">
              <w:t>0.1</w:t>
            </w:r>
          </w:p>
        </w:tc>
        <w:tc>
          <w:tcPr>
            <w:tcW w:w="919" w:type="pct"/>
            <w:shd w:val="clear" w:color="auto" w:fill="FFFFFF" w:themeFill="background1"/>
            <w:vAlign w:val="bottom"/>
          </w:tcPr>
          <w:p w:rsidR="002D64C5" w:rsidRPr="00F90D20" w:rsidRDefault="002D64C5" w:rsidP="002F27A9">
            <w:pPr>
              <w:pStyle w:val="Tablerow"/>
            </w:pPr>
            <w:r w:rsidRPr="00F90D20">
              <w:t>0.3</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Goulburn</w:t>
            </w:r>
          </w:p>
        </w:tc>
        <w:tc>
          <w:tcPr>
            <w:tcW w:w="621" w:type="pct"/>
            <w:shd w:val="clear" w:color="auto" w:fill="FFFFFF" w:themeFill="background1"/>
            <w:vAlign w:val="bottom"/>
          </w:tcPr>
          <w:p w:rsidR="002D64C5" w:rsidRPr="00F90D20" w:rsidRDefault="002D64C5" w:rsidP="002F27A9">
            <w:pPr>
              <w:pStyle w:val="Tablerow"/>
            </w:pPr>
            <w:r w:rsidRPr="00F90D20">
              <w:t>0.1</w:t>
            </w:r>
          </w:p>
        </w:tc>
        <w:tc>
          <w:tcPr>
            <w:tcW w:w="725" w:type="pct"/>
            <w:shd w:val="clear" w:color="auto" w:fill="FFFFFF" w:themeFill="background1"/>
            <w:vAlign w:val="bottom"/>
          </w:tcPr>
          <w:p w:rsidR="002D64C5" w:rsidRPr="00F90D20" w:rsidRDefault="002D64C5" w:rsidP="002F27A9">
            <w:pPr>
              <w:pStyle w:val="Tablerow"/>
            </w:pPr>
            <w:r w:rsidRPr="00F90D20">
              <w:t>0.</w:t>
            </w:r>
            <w:r w:rsidR="00132D4D" w:rsidRPr="00F90D20">
              <w:t>1</w:t>
            </w:r>
          </w:p>
        </w:tc>
        <w:tc>
          <w:tcPr>
            <w:tcW w:w="1122" w:type="pct"/>
            <w:shd w:val="clear" w:color="auto" w:fill="FFFFFF" w:themeFill="background1"/>
            <w:vAlign w:val="bottom"/>
          </w:tcPr>
          <w:p w:rsidR="002D64C5" w:rsidRPr="00F90D20" w:rsidRDefault="002D64C5" w:rsidP="002F27A9">
            <w:pPr>
              <w:pStyle w:val="Tablerow"/>
            </w:pPr>
            <w:r w:rsidRPr="00F90D20">
              <w:t>0.3</w:t>
            </w:r>
          </w:p>
        </w:tc>
        <w:tc>
          <w:tcPr>
            <w:tcW w:w="919" w:type="pct"/>
            <w:shd w:val="clear" w:color="auto" w:fill="FFFFFF" w:themeFill="background1"/>
            <w:vAlign w:val="bottom"/>
          </w:tcPr>
          <w:p w:rsidR="002D64C5" w:rsidRPr="00F90D20" w:rsidRDefault="002D64C5" w:rsidP="002F27A9">
            <w:pPr>
              <w:pStyle w:val="Tablerow"/>
            </w:pPr>
            <w:r w:rsidRPr="00F90D20">
              <w:t>0.4</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Hume Moreland</w:t>
            </w:r>
          </w:p>
        </w:tc>
        <w:tc>
          <w:tcPr>
            <w:tcW w:w="621" w:type="pct"/>
            <w:shd w:val="clear" w:color="auto" w:fill="FFFFFF" w:themeFill="background1"/>
            <w:vAlign w:val="bottom"/>
          </w:tcPr>
          <w:p w:rsidR="002D64C5" w:rsidRPr="00F90D20" w:rsidRDefault="002D64C5" w:rsidP="002F27A9">
            <w:pPr>
              <w:pStyle w:val="Tablerow"/>
            </w:pPr>
            <w:r w:rsidRPr="00F90D20">
              <w:t>0.0</w:t>
            </w:r>
          </w:p>
        </w:tc>
        <w:tc>
          <w:tcPr>
            <w:tcW w:w="725" w:type="pct"/>
            <w:shd w:val="clear" w:color="auto" w:fill="FFFFFF" w:themeFill="background1"/>
            <w:vAlign w:val="bottom"/>
          </w:tcPr>
          <w:p w:rsidR="002D64C5" w:rsidRPr="00F90D20" w:rsidRDefault="002D64C5" w:rsidP="002F27A9">
            <w:pPr>
              <w:pStyle w:val="Tablerow"/>
            </w:pPr>
            <w:r w:rsidRPr="00F90D20">
              <w:t>0.0</w:t>
            </w:r>
          </w:p>
        </w:tc>
        <w:tc>
          <w:tcPr>
            <w:tcW w:w="1122" w:type="pct"/>
            <w:shd w:val="clear" w:color="auto" w:fill="FFFFFF" w:themeFill="background1"/>
            <w:vAlign w:val="bottom"/>
          </w:tcPr>
          <w:p w:rsidR="002D64C5" w:rsidRPr="00F90D20" w:rsidRDefault="002D64C5" w:rsidP="002F27A9">
            <w:pPr>
              <w:pStyle w:val="Tablerow"/>
            </w:pPr>
            <w:r w:rsidRPr="00F90D20">
              <w:t>0.0</w:t>
            </w:r>
          </w:p>
        </w:tc>
        <w:tc>
          <w:tcPr>
            <w:tcW w:w="919" w:type="pct"/>
            <w:shd w:val="clear" w:color="auto" w:fill="FFFFFF" w:themeFill="background1"/>
            <w:vAlign w:val="bottom"/>
          </w:tcPr>
          <w:p w:rsidR="002D64C5" w:rsidRPr="00F90D20" w:rsidRDefault="002D64C5" w:rsidP="002F27A9">
            <w:pPr>
              <w:pStyle w:val="Tablerow"/>
            </w:pPr>
            <w:r w:rsidRPr="00F90D20">
              <w:t>0.1</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Inner Eastern Melbourne</w:t>
            </w:r>
          </w:p>
        </w:tc>
        <w:tc>
          <w:tcPr>
            <w:tcW w:w="621" w:type="pct"/>
            <w:shd w:val="clear" w:color="auto" w:fill="FFFFFF" w:themeFill="background1"/>
            <w:vAlign w:val="bottom"/>
          </w:tcPr>
          <w:p w:rsidR="002D64C5" w:rsidRPr="00F90D20" w:rsidRDefault="002D64C5" w:rsidP="002F27A9">
            <w:pPr>
              <w:pStyle w:val="Tablerow"/>
            </w:pPr>
            <w:r w:rsidRPr="00F90D20">
              <w:t>0.</w:t>
            </w:r>
            <w:r w:rsidR="00D93F64" w:rsidRPr="00F90D20">
              <w:t>1</w:t>
            </w:r>
          </w:p>
        </w:tc>
        <w:tc>
          <w:tcPr>
            <w:tcW w:w="725" w:type="pct"/>
            <w:shd w:val="clear" w:color="auto" w:fill="FFFFFF" w:themeFill="background1"/>
            <w:vAlign w:val="bottom"/>
          </w:tcPr>
          <w:p w:rsidR="002D64C5" w:rsidRPr="00F90D20" w:rsidRDefault="002D64C5" w:rsidP="002F27A9">
            <w:pPr>
              <w:pStyle w:val="Tablerow"/>
            </w:pPr>
            <w:r w:rsidRPr="00F90D20">
              <w:t>0.</w:t>
            </w:r>
            <w:r w:rsidR="00132D4D" w:rsidRPr="00F90D20">
              <w:t>1</w:t>
            </w:r>
          </w:p>
        </w:tc>
        <w:tc>
          <w:tcPr>
            <w:tcW w:w="1122" w:type="pct"/>
            <w:shd w:val="clear" w:color="auto" w:fill="FFFFFF" w:themeFill="background1"/>
            <w:vAlign w:val="bottom"/>
          </w:tcPr>
          <w:p w:rsidR="002D64C5" w:rsidRPr="00F90D20" w:rsidRDefault="002D64C5" w:rsidP="002F27A9">
            <w:pPr>
              <w:pStyle w:val="Tablerow"/>
            </w:pPr>
            <w:r w:rsidRPr="00F90D20">
              <w:t>0.</w:t>
            </w:r>
            <w:r w:rsidR="002C5903" w:rsidRPr="00F90D20">
              <w:t>2</w:t>
            </w:r>
          </w:p>
        </w:tc>
        <w:tc>
          <w:tcPr>
            <w:tcW w:w="919" w:type="pct"/>
            <w:shd w:val="clear" w:color="auto" w:fill="FFFFFF" w:themeFill="background1"/>
            <w:vAlign w:val="bottom"/>
          </w:tcPr>
          <w:p w:rsidR="002D64C5" w:rsidRPr="00F90D20" w:rsidRDefault="002D64C5" w:rsidP="002F27A9">
            <w:pPr>
              <w:pStyle w:val="Tablerow"/>
            </w:pPr>
            <w:r w:rsidRPr="00F90D20">
              <w:t>0.3</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Inner Gippsland</w:t>
            </w:r>
          </w:p>
        </w:tc>
        <w:tc>
          <w:tcPr>
            <w:tcW w:w="621" w:type="pct"/>
            <w:shd w:val="clear" w:color="auto" w:fill="FFFFFF" w:themeFill="background1"/>
            <w:vAlign w:val="bottom"/>
          </w:tcPr>
          <w:p w:rsidR="002D64C5" w:rsidRPr="00F90D20" w:rsidRDefault="002D64C5" w:rsidP="002F27A9">
            <w:pPr>
              <w:pStyle w:val="Tablerow"/>
            </w:pPr>
            <w:r w:rsidRPr="00F90D20">
              <w:t>0.6</w:t>
            </w:r>
          </w:p>
        </w:tc>
        <w:tc>
          <w:tcPr>
            <w:tcW w:w="725" w:type="pct"/>
            <w:shd w:val="clear" w:color="auto" w:fill="FFFFFF" w:themeFill="background1"/>
            <w:vAlign w:val="bottom"/>
          </w:tcPr>
          <w:p w:rsidR="002D64C5" w:rsidRPr="00F90D20" w:rsidRDefault="002D64C5" w:rsidP="002F27A9">
            <w:pPr>
              <w:pStyle w:val="Tablerow"/>
            </w:pPr>
            <w:r w:rsidRPr="00F90D20">
              <w:t>0.1</w:t>
            </w:r>
          </w:p>
        </w:tc>
        <w:tc>
          <w:tcPr>
            <w:tcW w:w="1122" w:type="pct"/>
            <w:shd w:val="clear" w:color="auto" w:fill="FFFFFF" w:themeFill="background1"/>
            <w:vAlign w:val="bottom"/>
          </w:tcPr>
          <w:p w:rsidR="002D64C5" w:rsidRPr="00F90D20" w:rsidRDefault="002D64C5" w:rsidP="002F27A9">
            <w:pPr>
              <w:pStyle w:val="Tablerow"/>
            </w:pPr>
            <w:r w:rsidRPr="00F90D20">
              <w:t>0.6</w:t>
            </w:r>
          </w:p>
        </w:tc>
        <w:tc>
          <w:tcPr>
            <w:tcW w:w="919" w:type="pct"/>
            <w:shd w:val="clear" w:color="auto" w:fill="FFFFFF" w:themeFill="background1"/>
            <w:vAlign w:val="bottom"/>
          </w:tcPr>
          <w:p w:rsidR="002D64C5" w:rsidRPr="00F90D20" w:rsidRDefault="002D64C5" w:rsidP="002F27A9">
            <w:pPr>
              <w:pStyle w:val="Tablerow"/>
            </w:pPr>
            <w:r w:rsidRPr="00F90D20">
              <w:t>1.</w:t>
            </w:r>
            <w:r w:rsidR="00132D4D" w:rsidRPr="00F90D20">
              <w:t>3</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Loddon</w:t>
            </w:r>
          </w:p>
        </w:tc>
        <w:tc>
          <w:tcPr>
            <w:tcW w:w="621" w:type="pct"/>
            <w:shd w:val="clear" w:color="auto" w:fill="FFFFFF" w:themeFill="background1"/>
            <w:vAlign w:val="bottom"/>
          </w:tcPr>
          <w:p w:rsidR="002D64C5" w:rsidRPr="00F90D20" w:rsidRDefault="002D64C5" w:rsidP="002F27A9">
            <w:pPr>
              <w:pStyle w:val="Tablerow"/>
            </w:pPr>
            <w:r w:rsidRPr="00F90D20">
              <w:t>0.1</w:t>
            </w:r>
          </w:p>
        </w:tc>
        <w:tc>
          <w:tcPr>
            <w:tcW w:w="725" w:type="pct"/>
            <w:shd w:val="clear" w:color="auto" w:fill="FFFFFF" w:themeFill="background1"/>
            <w:vAlign w:val="bottom"/>
          </w:tcPr>
          <w:p w:rsidR="002D64C5" w:rsidRPr="00F90D20" w:rsidRDefault="002D64C5" w:rsidP="002F27A9">
            <w:pPr>
              <w:pStyle w:val="Tablerow"/>
            </w:pPr>
            <w:r w:rsidRPr="00F90D20">
              <w:t>0.0</w:t>
            </w:r>
          </w:p>
        </w:tc>
        <w:tc>
          <w:tcPr>
            <w:tcW w:w="1122" w:type="pct"/>
            <w:shd w:val="clear" w:color="auto" w:fill="FFFFFF" w:themeFill="background1"/>
            <w:vAlign w:val="bottom"/>
          </w:tcPr>
          <w:p w:rsidR="002D64C5" w:rsidRPr="00F90D20" w:rsidRDefault="002D64C5" w:rsidP="002F27A9">
            <w:pPr>
              <w:pStyle w:val="Tablerow"/>
            </w:pPr>
            <w:r w:rsidRPr="00F90D20">
              <w:t>0.2</w:t>
            </w:r>
          </w:p>
        </w:tc>
        <w:tc>
          <w:tcPr>
            <w:tcW w:w="919" w:type="pct"/>
            <w:shd w:val="clear" w:color="auto" w:fill="FFFFFF" w:themeFill="background1"/>
            <w:vAlign w:val="bottom"/>
          </w:tcPr>
          <w:p w:rsidR="002D64C5" w:rsidRPr="00F90D20" w:rsidRDefault="002D64C5" w:rsidP="002F27A9">
            <w:pPr>
              <w:pStyle w:val="Tablerow"/>
            </w:pPr>
            <w:r w:rsidRPr="00F90D20">
              <w:t>0.</w:t>
            </w:r>
            <w:r w:rsidR="00132D4D" w:rsidRPr="00F90D20">
              <w:t>3</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Mallee</w:t>
            </w:r>
          </w:p>
        </w:tc>
        <w:tc>
          <w:tcPr>
            <w:tcW w:w="621" w:type="pct"/>
            <w:shd w:val="clear" w:color="auto" w:fill="FFFFFF" w:themeFill="background1"/>
            <w:vAlign w:val="bottom"/>
          </w:tcPr>
          <w:p w:rsidR="002D64C5" w:rsidRPr="00F90D20" w:rsidRDefault="002D64C5" w:rsidP="002F27A9">
            <w:pPr>
              <w:pStyle w:val="Tablerow"/>
            </w:pPr>
            <w:r w:rsidRPr="00F90D20">
              <w:t>0.1</w:t>
            </w:r>
          </w:p>
        </w:tc>
        <w:tc>
          <w:tcPr>
            <w:tcW w:w="725" w:type="pct"/>
            <w:shd w:val="clear" w:color="auto" w:fill="FFFFFF" w:themeFill="background1"/>
            <w:vAlign w:val="bottom"/>
          </w:tcPr>
          <w:p w:rsidR="002D64C5" w:rsidRPr="00F90D20" w:rsidRDefault="002D64C5" w:rsidP="002F27A9">
            <w:pPr>
              <w:pStyle w:val="Tablerow"/>
            </w:pPr>
            <w:r w:rsidRPr="00F90D20">
              <w:t>0.0</w:t>
            </w:r>
          </w:p>
        </w:tc>
        <w:tc>
          <w:tcPr>
            <w:tcW w:w="1122" w:type="pct"/>
            <w:shd w:val="clear" w:color="auto" w:fill="FFFFFF" w:themeFill="background1"/>
            <w:vAlign w:val="bottom"/>
          </w:tcPr>
          <w:p w:rsidR="002D64C5" w:rsidRPr="00F90D20" w:rsidRDefault="002D64C5" w:rsidP="002F27A9">
            <w:pPr>
              <w:pStyle w:val="Tablerow"/>
            </w:pPr>
            <w:r w:rsidRPr="00F90D20">
              <w:t>0.2</w:t>
            </w:r>
          </w:p>
        </w:tc>
        <w:tc>
          <w:tcPr>
            <w:tcW w:w="919" w:type="pct"/>
            <w:shd w:val="clear" w:color="auto" w:fill="FFFFFF" w:themeFill="background1"/>
            <w:vAlign w:val="bottom"/>
          </w:tcPr>
          <w:p w:rsidR="002D64C5" w:rsidRPr="00F90D20" w:rsidRDefault="002D64C5" w:rsidP="002F27A9">
            <w:pPr>
              <w:pStyle w:val="Tablerow"/>
            </w:pPr>
            <w:r w:rsidRPr="00F90D20">
              <w:t>0.3</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North Eastern Melbourne</w:t>
            </w:r>
          </w:p>
        </w:tc>
        <w:tc>
          <w:tcPr>
            <w:tcW w:w="621" w:type="pct"/>
            <w:shd w:val="clear" w:color="auto" w:fill="FFFFFF" w:themeFill="background1"/>
            <w:vAlign w:val="bottom"/>
          </w:tcPr>
          <w:p w:rsidR="002D64C5" w:rsidRPr="00F90D20" w:rsidRDefault="002D64C5" w:rsidP="002F27A9">
            <w:pPr>
              <w:pStyle w:val="Tablerow"/>
            </w:pPr>
            <w:r w:rsidRPr="00F90D20">
              <w:t>0.</w:t>
            </w:r>
            <w:r w:rsidR="00D93F64" w:rsidRPr="00F90D20">
              <w:t>1</w:t>
            </w:r>
          </w:p>
        </w:tc>
        <w:tc>
          <w:tcPr>
            <w:tcW w:w="725" w:type="pct"/>
            <w:shd w:val="clear" w:color="auto" w:fill="FFFFFF" w:themeFill="background1"/>
            <w:vAlign w:val="bottom"/>
          </w:tcPr>
          <w:p w:rsidR="002D64C5" w:rsidRPr="00F90D20" w:rsidRDefault="002D64C5" w:rsidP="002F27A9">
            <w:pPr>
              <w:pStyle w:val="Tablerow"/>
            </w:pPr>
            <w:r w:rsidRPr="00F90D20">
              <w:t>0.0</w:t>
            </w:r>
          </w:p>
        </w:tc>
        <w:tc>
          <w:tcPr>
            <w:tcW w:w="1122" w:type="pct"/>
            <w:shd w:val="clear" w:color="auto" w:fill="FFFFFF" w:themeFill="background1"/>
            <w:vAlign w:val="bottom"/>
          </w:tcPr>
          <w:p w:rsidR="002D64C5" w:rsidRPr="00F90D20" w:rsidRDefault="002D64C5" w:rsidP="002F27A9">
            <w:pPr>
              <w:pStyle w:val="Tablerow"/>
            </w:pPr>
            <w:r w:rsidRPr="00F90D20">
              <w:t>0.</w:t>
            </w:r>
            <w:r w:rsidR="002C5903" w:rsidRPr="00F90D20">
              <w:t>2</w:t>
            </w:r>
          </w:p>
        </w:tc>
        <w:tc>
          <w:tcPr>
            <w:tcW w:w="919" w:type="pct"/>
            <w:shd w:val="clear" w:color="auto" w:fill="FFFFFF" w:themeFill="background1"/>
            <w:vAlign w:val="bottom"/>
          </w:tcPr>
          <w:p w:rsidR="002D64C5" w:rsidRPr="00F90D20" w:rsidRDefault="002D64C5" w:rsidP="002F27A9">
            <w:pPr>
              <w:pStyle w:val="Tablerow"/>
            </w:pPr>
            <w:r w:rsidRPr="00F90D20">
              <w:t>0.3</w:t>
            </w:r>
          </w:p>
        </w:tc>
      </w:tr>
      <w:tr w:rsidR="00317A4B" w:rsidRPr="00F90D20" w:rsidTr="00317A4B">
        <w:trPr>
          <w:trHeight w:val="50"/>
        </w:trPr>
        <w:tc>
          <w:tcPr>
            <w:tcW w:w="1613" w:type="pct"/>
            <w:shd w:val="clear" w:color="auto" w:fill="FFFFFF" w:themeFill="background1"/>
            <w:vAlign w:val="bottom"/>
          </w:tcPr>
          <w:p w:rsidR="002D64C5" w:rsidRPr="00F90D20" w:rsidRDefault="002D64C5" w:rsidP="002F27A9">
            <w:pPr>
              <w:pStyle w:val="Tablerow"/>
            </w:pPr>
            <w:r w:rsidRPr="00F90D20">
              <w:t>Outer Eastern Melbourne</w:t>
            </w:r>
          </w:p>
        </w:tc>
        <w:tc>
          <w:tcPr>
            <w:tcW w:w="621" w:type="pct"/>
            <w:shd w:val="clear" w:color="auto" w:fill="FFFFFF" w:themeFill="background1"/>
            <w:vAlign w:val="bottom"/>
          </w:tcPr>
          <w:p w:rsidR="002D64C5" w:rsidRPr="00F90D20" w:rsidRDefault="002D64C5" w:rsidP="002F27A9">
            <w:pPr>
              <w:pStyle w:val="Tablerow"/>
            </w:pPr>
            <w:r w:rsidRPr="00F90D20">
              <w:t>0.0</w:t>
            </w:r>
          </w:p>
        </w:tc>
        <w:tc>
          <w:tcPr>
            <w:tcW w:w="725" w:type="pct"/>
            <w:shd w:val="clear" w:color="auto" w:fill="FFFFFF" w:themeFill="background1"/>
            <w:vAlign w:val="bottom"/>
          </w:tcPr>
          <w:p w:rsidR="002D64C5" w:rsidRPr="00F90D20" w:rsidRDefault="002D64C5" w:rsidP="002F27A9">
            <w:pPr>
              <w:pStyle w:val="Tablerow"/>
            </w:pPr>
            <w:r w:rsidRPr="00F90D20">
              <w:t>0.0</w:t>
            </w:r>
          </w:p>
        </w:tc>
        <w:tc>
          <w:tcPr>
            <w:tcW w:w="1122" w:type="pct"/>
            <w:shd w:val="clear" w:color="auto" w:fill="FFFFFF" w:themeFill="background1"/>
            <w:vAlign w:val="bottom"/>
          </w:tcPr>
          <w:p w:rsidR="002D64C5" w:rsidRPr="00F90D20" w:rsidRDefault="002D64C5" w:rsidP="002F27A9">
            <w:pPr>
              <w:pStyle w:val="Tablerow"/>
            </w:pPr>
            <w:r w:rsidRPr="00F90D20">
              <w:t>0.1</w:t>
            </w:r>
          </w:p>
        </w:tc>
        <w:tc>
          <w:tcPr>
            <w:tcW w:w="919" w:type="pct"/>
            <w:shd w:val="clear" w:color="auto" w:fill="FFFFFF" w:themeFill="background1"/>
            <w:vAlign w:val="bottom"/>
          </w:tcPr>
          <w:p w:rsidR="002D64C5" w:rsidRPr="00F90D20" w:rsidRDefault="002D64C5" w:rsidP="002F27A9">
            <w:pPr>
              <w:pStyle w:val="Tablerow"/>
            </w:pPr>
            <w:r w:rsidRPr="00F90D20">
              <w:t>0.2</w:t>
            </w:r>
          </w:p>
        </w:tc>
      </w:tr>
      <w:tr w:rsidR="00317A4B" w:rsidRPr="00F90D20" w:rsidTr="00317A4B">
        <w:trPr>
          <w:trHeight w:val="50"/>
        </w:trPr>
        <w:tc>
          <w:tcPr>
            <w:tcW w:w="1613" w:type="pct"/>
            <w:tcBorders>
              <w:bottom w:val="nil"/>
            </w:tcBorders>
            <w:shd w:val="clear" w:color="auto" w:fill="FFFFFF" w:themeFill="background1"/>
            <w:vAlign w:val="bottom"/>
          </w:tcPr>
          <w:p w:rsidR="002D64C5" w:rsidRPr="00F90D20" w:rsidRDefault="002D64C5" w:rsidP="002F27A9">
            <w:pPr>
              <w:pStyle w:val="Tablerow"/>
            </w:pPr>
            <w:r w:rsidRPr="00F90D20">
              <w:t>Outer Gippsland</w:t>
            </w:r>
          </w:p>
        </w:tc>
        <w:tc>
          <w:tcPr>
            <w:tcW w:w="621" w:type="pct"/>
            <w:tcBorders>
              <w:bottom w:val="nil"/>
            </w:tcBorders>
            <w:shd w:val="clear" w:color="auto" w:fill="FFFFFF" w:themeFill="background1"/>
            <w:vAlign w:val="bottom"/>
          </w:tcPr>
          <w:p w:rsidR="002D64C5" w:rsidRPr="00F90D20" w:rsidRDefault="002D64C5" w:rsidP="002F27A9">
            <w:pPr>
              <w:pStyle w:val="Tablerow"/>
            </w:pPr>
            <w:r w:rsidRPr="00F90D20">
              <w:t>0.2</w:t>
            </w:r>
          </w:p>
        </w:tc>
        <w:tc>
          <w:tcPr>
            <w:tcW w:w="725" w:type="pct"/>
            <w:tcBorders>
              <w:bottom w:val="nil"/>
            </w:tcBorders>
            <w:shd w:val="clear" w:color="auto" w:fill="FFFFFF" w:themeFill="background1"/>
            <w:vAlign w:val="bottom"/>
          </w:tcPr>
          <w:p w:rsidR="002D64C5" w:rsidRPr="00F90D20" w:rsidRDefault="002D64C5" w:rsidP="002F27A9">
            <w:pPr>
              <w:pStyle w:val="Tablerow"/>
            </w:pPr>
            <w:r w:rsidRPr="00F90D20">
              <w:t>0.0</w:t>
            </w:r>
          </w:p>
        </w:tc>
        <w:tc>
          <w:tcPr>
            <w:tcW w:w="1122" w:type="pct"/>
            <w:tcBorders>
              <w:bottom w:val="nil"/>
            </w:tcBorders>
            <w:shd w:val="clear" w:color="auto" w:fill="FFFFFF" w:themeFill="background1"/>
            <w:vAlign w:val="bottom"/>
          </w:tcPr>
          <w:p w:rsidR="002D64C5" w:rsidRPr="00F90D20" w:rsidRDefault="002D64C5" w:rsidP="002F27A9">
            <w:pPr>
              <w:pStyle w:val="Tablerow"/>
            </w:pPr>
            <w:r w:rsidRPr="00F90D20">
              <w:t>0.2</w:t>
            </w:r>
          </w:p>
        </w:tc>
        <w:tc>
          <w:tcPr>
            <w:tcW w:w="919" w:type="pct"/>
            <w:tcBorders>
              <w:bottom w:val="nil"/>
            </w:tcBorders>
            <w:shd w:val="clear" w:color="auto" w:fill="FFFFFF" w:themeFill="background1"/>
            <w:vAlign w:val="bottom"/>
          </w:tcPr>
          <w:p w:rsidR="002D64C5" w:rsidRPr="00F90D20" w:rsidRDefault="002D64C5" w:rsidP="002F27A9">
            <w:pPr>
              <w:pStyle w:val="Tablerow"/>
            </w:pPr>
            <w:r w:rsidRPr="00F90D20">
              <w:t>0.</w:t>
            </w:r>
            <w:r w:rsidR="00132D4D" w:rsidRPr="00F90D20">
              <w:t>5</w:t>
            </w:r>
          </w:p>
        </w:tc>
      </w:tr>
      <w:tr w:rsidR="00317A4B" w:rsidRPr="00F90D20" w:rsidTr="00317A4B">
        <w:trPr>
          <w:trHeight w:val="50"/>
        </w:trPr>
        <w:tc>
          <w:tcPr>
            <w:tcW w:w="1613" w:type="pct"/>
            <w:tcBorders>
              <w:top w:val="nil"/>
              <w:bottom w:val="nil"/>
            </w:tcBorders>
            <w:shd w:val="clear" w:color="auto" w:fill="FFFFFF" w:themeFill="background1"/>
            <w:vAlign w:val="bottom"/>
          </w:tcPr>
          <w:p w:rsidR="002D64C5" w:rsidRPr="00F90D20" w:rsidRDefault="002D64C5" w:rsidP="002F27A9">
            <w:pPr>
              <w:pStyle w:val="Tablerow"/>
            </w:pPr>
            <w:r w:rsidRPr="00F90D20">
              <w:t>Ovens Murray</w:t>
            </w:r>
          </w:p>
        </w:tc>
        <w:tc>
          <w:tcPr>
            <w:tcW w:w="621" w:type="pct"/>
            <w:tcBorders>
              <w:top w:val="nil"/>
              <w:bottom w:val="nil"/>
            </w:tcBorders>
            <w:shd w:val="clear" w:color="auto" w:fill="FFFFFF" w:themeFill="background1"/>
            <w:vAlign w:val="bottom"/>
          </w:tcPr>
          <w:p w:rsidR="002D64C5" w:rsidRPr="00F90D20" w:rsidRDefault="002D64C5" w:rsidP="002F27A9">
            <w:pPr>
              <w:pStyle w:val="Tablerow"/>
            </w:pPr>
            <w:r w:rsidRPr="00F90D20">
              <w:t>0.4</w:t>
            </w:r>
          </w:p>
        </w:tc>
        <w:tc>
          <w:tcPr>
            <w:tcW w:w="725" w:type="pct"/>
            <w:tcBorders>
              <w:top w:val="nil"/>
              <w:bottom w:val="nil"/>
            </w:tcBorders>
            <w:shd w:val="clear" w:color="auto" w:fill="FFFFFF" w:themeFill="background1"/>
            <w:vAlign w:val="bottom"/>
          </w:tcPr>
          <w:p w:rsidR="002D64C5" w:rsidRPr="00F90D20" w:rsidRDefault="002D64C5" w:rsidP="002F27A9">
            <w:pPr>
              <w:pStyle w:val="Tablerow"/>
            </w:pPr>
            <w:r w:rsidRPr="00F90D20">
              <w:t>0.1</w:t>
            </w:r>
          </w:p>
        </w:tc>
        <w:tc>
          <w:tcPr>
            <w:tcW w:w="1122" w:type="pct"/>
            <w:tcBorders>
              <w:top w:val="nil"/>
              <w:bottom w:val="nil"/>
            </w:tcBorders>
            <w:shd w:val="clear" w:color="auto" w:fill="FFFFFF" w:themeFill="background1"/>
            <w:vAlign w:val="bottom"/>
          </w:tcPr>
          <w:p w:rsidR="002D64C5" w:rsidRPr="00F90D20" w:rsidRDefault="002D64C5" w:rsidP="002F27A9">
            <w:pPr>
              <w:pStyle w:val="Tablerow"/>
            </w:pPr>
            <w:r w:rsidRPr="00F90D20">
              <w:t>0.8</w:t>
            </w:r>
          </w:p>
        </w:tc>
        <w:tc>
          <w:tcPr>
            <w:tcW w:w="919" w:type="pct"/>
            <w:tcBorders>
              <w:top w:val="nil"/>
              <w:bottom w:val="nil"/>
            </w:tcBorders>
            <w:shd w:val="clear" w:color="auto" w:fill="FFFFFF" w:themeFill="background1"/>
            <w:vAlign w:val="bottom"/>
          </w:tcPr>
          <w:p w:rsidR="002D64C5" w:rsidRPr="00F90D20" w:rsidRDefault="002D64C5" w:rsidP="002F27A9">
            <w:pPr>
              <w:pStyle w:val="Tablerow"/>
            </w:pPr>
            <w:r w:rsidRPr="00F90D20">
              <w:t>1.3</w:t>
            </w:r>
          </w:p>
        </w:tc>
      </w:tr>
      <w:tr w:rsidR="00317A4B" w:rsidRPr="00F90D20" w:rsidTr="00317A4B">
        <w:trPr>
          <w:trHeight w:val="50"/>
        </w:trPr>
        <w:tc>
          <w:tcPr>
            <w:tcW w:w="1613" w:type="pct"/>
            <w:tcBorders>
              <w:top w:val="nil"/>
              <w:bottom w:val="nil"/>
            </w:tcBorders>
            <w:shd w:val="clear" w:color="auto" w:fill="FFFFFF" w:themeFill="background1"/>
            <w:vAlign w:val="bottom"/>
          </w:tcPr>
          <w:p w:rsidR="002D64C5" w:rsidRPr="00F90D20" w:rsidRDefault="002D64C5" w:rsidP="002F27A9">
            <w:pPr>
              <w:pStyle w:val="Tablerow"/>
            </w:pPr>
            <w:r w:rsidRPr="00F90D20">
              <w:t>Southern Melbourne</w:t>
            </w:r>
          </w:p>
        </w:tc>
        <w:tc>
          <w:tcPr>
            <w:tcW w:w="621" w:type="pct"/>
            <w:tcBorders>
              <w:top w:val="nil"/>
              <w:bottom w:val="nil"/>
            </w:tcBorders>
            <w:shd w:val="clear" w:color="auto" w:fill="FFFFFF" w:themeFill="background1"/>
            <w:vAlign w:val="bottom"/>
          </w:tcPr>
          <w:p w:rsidR="002D64C5" w:rsidRPr="00F90D20" w:rsidRDefault="002D64C5" w:rsidP="002F27A9">
            <w:pPr>
              <w:pStyle w:val="Tablerow"/>
            </w:pPr>
            <w:r w:rsidRPr="00F90D20">
              <w:t>0.0</w:t>
            </w:r>
          </w:p>
        </w:tc>
        <w:tc>
          <w:tcPr>
            <w:tcW w:w="725" w:type="pct"/>
            <w:tcBorders>
              <w:top w:val="nil"/>
              <w:bottom w:val="nil"/>
            </w:tcBorders>
            <w:shd w:val="clear" w:color="auto" w:fill="FFFFFF" w:themeFill="background1"/>
            <w:vAlign w:val="bottom"/>
          </w:tcPr>
          <w:p w:rsidR="002D64C5" w:rsidRPr="00F90D20" w:rsidRDefault="002D64C5" w:rsidP="002F27A9">
            <w:pPr>
              <w:pStyle w:val="Tablerow"/>
            </w:pPr>
            <w:r w:rsidRPr="00F90D20">
              <w:t>0.0</w:t>
            </w:r>
          </w:p>
        </w:tc>
        <w:tc>
          <w:tcPr>
            <w:tcW w:w="1122" w:type="pct"/>
            <w:tcBorders>
              <w:top w:val="nil"/>
              <w:bottom w:val="nil"/>
            </w:tcBorders>
            <w:shd w:val="clear" w:color="auto" w:fill="FFFFFF" w:themeFill="background1"/>
            <w:vAlign w:val="bottom"/>
          </w:tcPr>
          <w:p w:rsidR="002D64C5" w:rsidRPr="00F90D20" w:rsidRDefault="002D64C5" w:rsidP="002F27A9">
            <w:pPr>
              <w:pStyle w:val="Tablerow"/>
            </w:pPr>
            <w:r w:rsidRPr="00F90D20">
              <w:t>0.1</w:t>
            </w:r>
          </w:p>
        </w:tc>
        <w:tc>
          <w:tcPr>
            <w:tcW w:w="919" w:type="pct"/>
            <w:tcBorders>
              <w:top w:val="nil"/>
              <w:bottom w:val="nil"/>
            </w:tcBorders>
            <w:shd w:val="clear" w:color="auto" w:fill="FFFFFF" w:themeFill="background1"/>
            <w:vAlign w:val="bottom"/>
          </w:tcPr>
          <w:p w:rsidR="002D64C5" w:rsidRPr="00F90D20" w:rsidRDefault="002D64C5" w:rsidP="002F27A9">
            <w:pPr>
              <w:pStyle w:val="Tablerow"/>
            </w:pPr>
            <w:r w:rsidRPr="00F90D20">
              <w:t>0.2</w:t>
            </w:r>
          </w:p>
        </w:tc>
      </w:tr>
      <w:tr w:rsidR="00317A4B" w:rsidRPr="00F90D20" w:rsidTr="00317A4B">
        <w:trPr>
          <w:trHeight w:val="50"/>
        </w:trPr>
        <w:tc>
          <w:tcPr>
            <w:tcW w:w="1613" w:type="pct"/>
            <w:tcBorders>
              <w:top w:val="nil"/>
              <w:bottom w:val="nil"/>
            </w:tcBorders>
            <w:shd w:val="clear" w:color="auto" w:fill="FFFFFF" w:themeFill="background1"/>
            <w:vAlign w:val="bottom"/>
          </w:tcPr>
          <w:p w:rsidR="002D64C5" w:rsidRPr="00F90D20" w:rsidRDefault="002D64C5" w:rsidP="002F27A9">
            <w:pPr>
              <w:pStyle w:val="Tablerow"/>
            </w:pPr>
            <w:r w:rsidRPr="00F90D20">
              <w:t>Western District</w:t>
            </w:r>
          </w:p>
        </w:tc>
        <w:tc>
          <w:tcPr>
            <w:tcW w:w="621" w:type="pct"/>
            <w:tcBorders>
              <w:top w:val="nil"/>
              <w:bottom w:val="nil"/>
            </w:tcBorders>
            <w:shd w:val="clear" w:color="auto" w:fill="FFFFFF" w:themeFill="background1"/>
            <w:vAlign w:val="bottom"/>
          </w:tcPr>
          <w:p w:rsidR="002D64C5" w:rsidRPr="00F90D20" w:rsidRDefault="002D64C5" w:rsidP="002F27A9">
            <w:pPr>
              <w:pStyle w:val="Tablerow"/>
            </w:pPr>
            <w:r w:rsidRPr="00F90D20">
              <w:t>0.3</w:t>
            </w:r>
          </w:p>
        </w:tc>
        <w:tc>
          <w:tcPr>
            <w:tcW w:w="725" w:type="pct"/>
            <w:tcBorders>
              <w:top w:val="nil"/>
              <w:bottom w:val="nil"/>
            </w:tcBorders>
            <w:shd w:val="clear" w:color="auto" w:fill="FFFFFF" w:themeFill="background1"/>
            <w:vAlign w:val="bottom"/>
          </w:tcPr>
          <w:p w:rsidR="002D64C5" w:rsidRPr="00F90D20" w:rsidRDefault="002D64C5" w:rsidP="002F27A9">
            <w:pPr>
              <w:pStyle w:val="Tablerow"/>
            </w:pPr>
            <w:r w:rsidRPr="00F90D20">
              <w:t>0.1</w:t>
            </w:r>
          </w:p>
        </w:tc>
        <w:tc>
          <w:tcPr>
            <w:tcW w:w="1122" w:type="pct"/>
            <w:tcBorders>
              <w:top w:val="nil"/>
              <w:bottom w:val="nil"/>
            </w:tcBorders>
            <w:shd w:val="clear" w:color="auto" w:fill="FFFFFF" w:themeFill="background1"/>
            <w:vAlign w:val="bottom"/>
          </w:tcPr>
          <w:p w:rsidR="002D64C5" w:rsidRPr="00F90D20" w:rsidRDefault="002D64C5" w:rsidP="002F27A9">
            <w:pPr>
              <w:pStyle w:val="Tablerow"/>
            </w:pPr>
            <w:r w:rsidRPr="00F90D20">
              <w:t>0.2</w:t>
            </w:r>
          </w:p>
        </w:tc>
        <w:tc>
          <w:tcPr>
            <w:tcW w:w="919" w:type="pct"/>
            <w:tcBorders>
              <w:top w:val="nil"/>
              <w:bottom w:val="nil"/>
            </w:tcBorders>
            <w:shd w:val="clear" w:color="auto" w:fill="FFFFFF" w:themeFill="background1"/>
            <w:vAlign w:val="bottom"/>
          </w:tcPr>
          <w:p w:rsidR="002D64C5" w:rsidRPr="00F90D20" w:rsidRDefault="002D64C5" w:rsidP="002F27A9">
            <w:pPr>
              <w:pStyle w:val="Tablerow"/>
            </w:pPr>
            <w:r w:rsidRPr="00F90D20">
              <w:t>0.</w:t>
            </w:r>
            <w:r w:rsidR="00132D4D" w:rsidRPr="00F90D20">
              <w:t>5</w:t>
            </w:r>
          </w:p>
        </w:tc>
      </w:tr>
      <w:tr w:rsidR="00317A4B" w:rsidRPr="00F90D20" w:rsidTr="00317A4B">
        <w:trPr>
          <w:trHeight w:val="50"/>
        </w:trPr>
        <w:tc>
          <w:tcPr>
            <w:tcW w:w="1613" w:type="pct"/>
            <w:tcBorders>
              <w:top w:val="nil"/>
              <w:bottom w:val="single" w:sz="4" w:space="0" w:color="808080" w:themeColor="background1" w:themeShade="80"/>
            </w:tcBorders>
            <w:shd w:val="clear" w:color="auto" w:fill="FFFFFF" w:themeFill="background1"/>
            <w:vAlign w:val="bottom"/>
          </w:tcPr>
          <w:p w:rsidR="002D64C5" w:rsidRPr="00F90D20" w:rsidRDefault="002D64C5" w:rsidP="002F27A9">
            <w:pPr>
              <w:pStyle w:val="Tablerow"/>
            </w:pPr>
            <w:r w:rsidRPr="00F90D20">
              <w:t>Western Melbourne</w:t>
            </w:r>
          </w:p>
        </w:tc>
        <w:tc>
          <w:tcPr>
            <w:tcW w:w="621" w:type="pct"/>
            <w:tcBorders>
              <w:top w:val="nil"/>
              <w:bottom w:val="single" w:sz="4" w:space="0" w:color="808080" w:themeColor="background1" w:themeShade="80"/>
            </w:tcBorders>
            <w:shd w:val="clear" w:color="auto" w:fill="FFFFFF" w:themeFill="background1"/>
            <w:vAlign w:val="bottom"/>
          </w:tcPr>
          <w:p w:rsidR="002D64C5" w:rsidRPr="00F90D20" w:rsidRDefault="002D64C5" w:rsidP="002F27A9">
            <w:pPr>
              <w:pStyle w:val="Tablerow"/>
            </w:pPr>
            <w:r w:rsidRPr="00F90D20">
              <w:t>0.0</w:t>
            </w:r>
          </w:p>
        </w:tc>
        <w:tc>
          <w:tcPr>
            <w:tcW w:w="725" w:type="pct"/>
            <w:tcBorders>
              <w:top w:val="nil"/>
              <w:bottom w:val="single" w:sz="4" w:space="0" w:color="808080" w:themeColor="background1" w:themeShade="80"/>
            </w:tcBorders>
            <w:shd w:val="clear" w:color="auto" w:fill="FFFFFF" w:themeFill="background1"/>
            <w:vAlign w:val="bottom"/>
          </w:tcPr>
          <w:p w:rsidR="002D64C5" w:rsidRPr="00F90D20" w:rsidRDefault="002D64C5" w:rsidP="002F27A9">
            <w:pPr>
              <w:pStyle w:val="Tablerow"/>
            </w:pPr>
            <w:r w:rsidRPr="00F90D20">
              <w:t>0.0</w:t>
            </w:r>
          </w:p>
        </w:tc>
        <w:tc>
          <w:tcPr>
            <w:tcW w:w="1122" w:type="pct"/>
            <w:tcBorders>
              <w:top w:val="nil"/>
              <w:bottom w:val="single" w:sz="4" w:space="0" w:color="808080" w:themeColor="background1" w:themeShade="80"/>
            </w:tcBorders>
            <w:shd w:val="clear" w:color="auto" w:fill="FFFFFF" w:themeFill="background1"/>
            <w:vAlign w:val="bottom"/>
          </w:tcPr>
          <w:p w:rsidR="002D64C5" w:rsidRPr="00F90D20" w:rsidRDefault="002D64C5" w:rsidP="002F27A9">
            <w:pPr>
              <w:pStyle w:val="Tablerow"/>
            </w:pPr>
            <w:r w:rsidRPr="00F90D20">
              <w:t>0.</w:t>
            </w:r>
            <w:r w:rsidR="002C5903" w:rsidRPr="00F90D20">
              <w:t>2</w:t>
            </w:r>
          </w:p>
        </w:tc>
        <w:tc>
          <w:tcPr>
            <w:tcW w:w="919" w:type="pct"/>
            <w:tcBorders>
              <w:top w:val="nil"/>
              <w:bottom w:val="single" w:sz="4" w:space="0" w:color="808080" w:themeColor="background1" w:themeShade="80"/>
            </w:tcBorders>
            <w:shd w:val="clear" w:color="auto" w:fill="FFFFFF" w:themeFill="background1"/>
            <w:vAlign w:val="bottom"/>
          </w:tcPr>
          <w:p w:rsidR="002D64C5" w:rsidRPr="00F90D20" w:rsidRDefault="002D64C5" w:rsidP="002F27A9">
            <w:pPr>
              <w:pStyle w:val="Tablerow"/>
            </w:pPr>
            <w:r w:rsidRPr="00F90D20">
              <w:t>0.</w:t>
            </w:r>
            <w:r w:rsidR="00132D4D" w:rsidRPr="00F90D20">
              <w:t>3</w:t>
            </w:r>
          </w:p>
        </w:tc>
      </w:tr>
    </w:tbl>
    <w:p w:rsidR="00343AA2" w:rsidRDefault="00343AA2" w:rsidP="002F27A9">
      <w:pPr>
        <w:keepLines w:val="0"/>
        <w:spacing w:after="0" w:line="240" w:lineRule="auto"/>
        <w:rPr>
          <w:rFonts w:eastAsia="Times New Roman"/>
          <w:b/>
          <w:bCs/>
          <w:noProof/>
          <w:color w:val="auto"/>
          <w:spacing w:val="0"/>
        </w:rPr>
      </w:pPr>
      <w:r>
        <w:br w:type="page"/>
      </w:r>
    </w:p>
    <w:p w:rsidR="004C45F9" w:rsidRPr="004C45F9" w:rsidRDefault="007E3C38" w:rsidP="00737DF6">
      <w:pPr>
        <w:pStyle w:val="Caption"/>
      </w:pPr>
      <w:r w:rsidRPr="00500F57">
        <w:lastRenderedPageBreak/>
        <w:t>Table</w:t>
      </w:r>
      <w:r w:rsidR="005A7653">
        <w:t xml:space="preserve"> 11</w:t>
      </w:r>
      <w:r w:rsidR="000E1092" w:rsidRPr="00500F57">
        <w:t xml:space="preserve">: Regional </w:t>
      </w:r>
      <w:r w:rsidR="006B7343" w:rsidRPr="00500F57">
        <w:t>active recreation</w:t>
      </w:r>
      <w:r w:rsidR="000E1092" w:rsidRPr="00500F57">
        <w:t xml:space="preserve"> FTE contribution (direct and indirect)</w:t>
      </w:r>
    </w:p>
    <w:tbl>
      <w:tblPr>
        <w:tblW w:w="4432" w:type="pct"/>
        <w:tblInd w:w="108" w:type="dxa"/>
        <w:tblBorders>
          <w:insideH w:val="single" w:sz="4" w:space="0" w:color="808080" w:themeColor="background1" w:themeShade="80"/>
        </w:tblBorders>
        <w:tblLook w:val="04A0" w:firstRow="1" w:lastRow="0" w:firstColumn="1" w:lastColumn="0" w:noHBand="0" w:noVBand="1"/>
      </w:tblPr>
      <w:tblGrid>
        <w:gridCol w:w="10195"/>
        <w:gridCol w:w="2912"/>
      </w:tblGrid>
      <w:tr w:rsidR="000E1092" w:rsidRPr="00F90D20" w:rsidTr="00317A4B">
        <w:trPr>
          <w:tblHeader/>
        </w:trPr>
        <w:tc>
          <w:tcPr>
            <w:tcW w:w="3889" w:type="pct"/>
            <w:tcBorders>
              <w:top w:val="single" w:sz="4" w:space="0" w:color="808080" w:themeColor="background1" w:themeShade="80"/>
              <w:bottom w:val="single" w:sz="4" w:space="0" w:color="808080" w:themeColor="background1" w:themeShade="80"/>
            </w:tcBorders>
            <w:shd w:val="clear" w:color="auto" w:fill="auto"/>
          </w:tcPr>
          <w:p w:rsidR="000E1092" w:rsidRPr="007F02D6" w:rsidRDefault="007C32FF" w:rsidP="002F27A9">
            <w:pPr>
              <w:pStyle w:val="Tablerow"/>
              <w:rPr>
                <w:b/>
              </w:rPr>
            </w:pPr>
            <w:r w:rsidRPr="007F02D6">
              <w:rPr>
                <w:b/>
              </w:rPr>
              <w:t>DHHS area</w:t>
            </w:r>
          </w:p>
        </w:tc>
        <w:tc>
          <w:tcPr>
            <w:tcW w:w="1111" w:type="pct"/>
            <w:tcBorders>
              <w:top w:val="single" w:sz="4" w:space="0" w:color="808080" w:themeColor="background1" w:themeShade="80"/>
              <w:bottom w:val="single" w:sz="4" w:space="0" w:color="808080" w:themeColor="background1" w:themeShade="80"/>
            </w:tcBorders>
            <w:vAlign w:val="bottom"/>
          </w:tcPr>
          <w:p w:rsidR="000E1092" w:rsidRPr="007F02D6" w:rsidRDefault="000E1092" w:rsidP="002F27A9">
            <w:pPr>
              <w:pStyle w:val="Tablerow"/>
              <w:rPr>
                <w:b/>
              </w:rPr>
            </w:pPr>
            <w:r w:rsidRPr="007F02D6">
              <w:rPr>
                <w:b/>
              </w:rPr>
              <w:t>FTE</w:t>
            </w:r>
            <w:r w:rsidR="007C32FF" w:rsidRPr="007F02D6">
              <w:rPr>
                <w:b/>
              </w:rPr>
              <w:t xml:space="preserve"> positions</w:t>
            </w:r>
          </w:p>
        </w:tc>
      </w:tr>
      <w:tr w:rsidR="000E1092" w:rsidRPr="00F90D20" w:rsidTr="00317A4B">
        <w:trPr>
          <w:tblHeader/>
        </w:trPr>
        <w:tc>
          <w:tcPr>
            <w:tcW w:w="3889" w:type="pct"/>
            <w:tcBorders>
              <w:top w:val="single" w:sz="4" w:space="0" w:color="808080" w:themeColor="background1" w:themeShade="80"/>
            </w:tcBorders>
            <w:shd w:val="clear" w:color="auto" w:fill="FFFFFF" w:themeFill="background1"/>
          </w:tcPr>
          <w:p w:rsidR="000E1092" w:rsidRPr="00F90D20" w:rsidRDefault="000E1092" w:rsidP="002F27A9">
            <w:pPr>
              <w:pStyle w:val="Tablerow"/>
            </w:pPr>
            <w:r w:rsidRPr="00F90D20">
              <w:t xml:space="preserve">Victoria total </w:t>
            </w:r>
          </w:p>
        </w:tc>
        <w:tc>
          <w:tcPr>
            <w:tcW w:w="1111" w:type="pct"/>
            <w:tcBorders>
              <w:top w:val="single" w:sz="4" w:space="0" w:color="808080" w:themeColor="background1" w:themeShade="80"/>
            </w:tcBorders>
            <w:shd w:val="clear" w:color="auto" w:fill="FFFFFF" w:themeFill="background1"/>
            <w:vAlign w:val="bottom"/>
          </w:tcPr>
          <w:p w:rsidR="000E1092" w:rsidRPr="00F90D20" w:rsidRDefault="00132D4D" w:rsidP="002F27A9">
            <w:pPr>
              <w:pStyle w:val="Tablerow"/>
            </w:pPr>
            <w:r w:rsidRPr="00F90D20">
              <w:t>51</w:t>
            </w:r>
            <w:r w:rsidR="00540735" w:rsidRPr="00F90D20">
              <w:t>,</w:t>
            </w:r>
            <w:r w:rsidRPr="00F90D20">
              <w:t>000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Barwon</w:t>
            </w:r>
          </w:p>
        </w:tc>
        <w:tc>
          <w:tcPr>
            <w:tcW w:w="1111" w:type="pct"/>
            <w:shd w:val="clear" w:color="auto" w:fill="FFFFFF" w:themeFill="background1"/>
            <w:vAlign w:val="bottom"/>
          </w:tcPr>
          <w:p w:rsidR="002D64C5" w:rsidRPr="00F90D20" w:rsidRDefault="002D64C5" w:rsidP="002F27A9">
            <w:pPr>
              <w:pStyle w:val="Tablerow"/>
            </w:pPr>
            <w:r w:rsidRPr="00F90D20">
              <w:t>5,</w:t>
            </w:r>
            <w:r w:rsidR="00132D4D" w:rsidRPr="00F90D20">
              <w:t>800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Bayside Peninsula</w:t>
            </w:r>
          </w:p>
        </w:tc>
        <w:tc>
          <w:tcPr>
            <w:tcW w:w="1111" w:type="pct"/>
            <w:shd w:val="clear" w:color="auto" w:fill="FFFFFF" w:themeFill="background1"/>
            <w:vAlign w:val="bottom"/>
          </w:tcPr>
          <w:p w:rsidR="002D64C5" w:rsidRPr="00F90D20" w:rsidDel="00501806" w:rsidRDefault="002D64C5" w:rsidP="002F27A9">
            <w:pPr>
              <w:pStyle w:val="Tablerow"/>
            </w:pPr>
            <w:r w:rsidRPr="00F90D20">
              <w:t>4,</w:t>
            </w:r>
            <w:r w:rsidR="00132D4D" w:rsidRPr="00F90D20">
              <w:t>600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proofErr w:type="spellStart"/>
            <w:r w:rsidRPr="00F90D20">
              <w:t>Brimbank</w:t>
            </w:r>
            <w:proofErr w:type="spellEnd"/>
            <w:r w:rsidRPr="00F90D20">
              <w:t xml:space="preserve"> Melton</w:t>
            </w:r>
          </w:p>
        </w:tc>
        <w:tc>
          <w:tcPr>
            <w:tcW w:w="1111" w:type="pct"/>
            <w:shd w:val="clear" w:color="auto" w:fill="FFFFFF" w:themeFill="background1"/>
            <w:vAlign w:val="bottom"/>
          </w:tcPr>
          <w:p w:rsidR="002D64C5" w:rsidRPr="00F90D20" w:rsidDel="00501806" w:rsidRDefault="002D64C5" w:rsidP="002F27A9">
            <w:pPr>
              <w:pStyle w:val="Tablerow"/>
            </w:pPr>
            <w:r w:rsidRPr="00F90D20">
              <w:t>1,</w:t>
            </w:r>
            <w:r w:rsidR="00132D4D" w:rsidRPr="00F90D20">
              <w:t>000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Central Highlands</w:t>
            </w:r>
          </w:p>
        </w:tc>
        <w:tc>
          <w:tcPr>
            <w:tcW w:w="1111" w:type="pct"/>
            <w:shd w:val="clear" w:color="auto" w:fill="FFFFFF" w:themeFill="background1"/>
            <w:vAlign w:val="bottom"/>
          </w:tcPr>
          <w:p w:rsidR="002D64C5" w:rsidRPr="00F90D20" w:rsidDel="00501806" w:rsidRDefault="002D64C5" w:rsidP="002F27A9">
            <w:pPr>
              <w:pStyle w:val="Tablerow"/>
            </w:pPr>
            <w:r w:rsidRPr="00F90D20">
              <w:t>1,</w:t>
            </w:r>
            <w:r w:rsidR="002C5903" w:rsidRPr="00F90D20">
              <w:t>600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Goulburn</w:t>
            </w:r>
          </w:p>
        </w:tc>
        <w:tc>
          <w:tcPr>
            <w:tcW w:w="1111" w:type="pct"/>
            <w:shd w:val="clear" w:color="auto" w:fill="FFFFFF" w:themeFill="background1"/>
            <w:vAlign w:val="bottom"/>
          </w:tcPr>
          <w:p w:rsidR="002D64C5" w:rsidRPr="00F90D20" w:rsidRDefault="002D64C5" w:rsidP="002F27A9">
            <w:pPr>
              <w:pStyle w:val="Tablerow"/>
            </w:pPr>
            <w:r w:rsidRPr="00F90D20">
              <w:t>2,800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Hume Moreland</w:t>
            </w:r>
          </w:p>
        </w:tc>
        <w:tc>
          <w:tcPr>
            <w:tcW w:w="1111" w:type="pct"/>
            <w:shd w:val="clear" w:color="auto" w:fill="FFFFFF" w:themeFill="background1"/>
            <w:vAlign w:val="bottom"/>
          </w:tcPr>
          <w:p w:rsidR="002D64C5" w:rsidRPr="00F90D20" w:rsidRDefault="002D64C5" w:rsidP="002F27A9">
            <w:pPr>
              <w:pStyle w:val="Tablerow"/>
            </w:pPr>
            <w:r w:rsidRPr="00F90D20">
              <w:t>700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Inner Eastern Melbourne</w:t>
            </w:r>
          </w:p>
        </w:tc>
        <w:tc>
          <w:tcPr>
            <w:tcW w:w="1111" w:type="pct"/>
            <w:shd w:val="clear" w:color="auto" w:fill="FFFFFF" w:themeFill="background1"/>
            <w:vAlign w:val="bottom"/>
          </w:tcPr>
          <w:p w:rsidR="002D64C5" w:rsidRPr="00F90D20" w:rsidRDefault="00132D4D" w:rsidP="002F27A9">
            <w:pPr>
              <w:pStyle w:val="Tablerow"/>
            </w:pPr>
            <w:r w:rsidRPr="00F90D20">
              <w:t>1</w:t>
            </w:r>
            <w:r w:rsidR="002D64C5" w:rsidRPr="00F90D20">
              <w:t>,</w:t>
            </w:r>
            <w:r w:rsidRPr="00F90D20">
              <w:t>900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Inner Gippsland</w:t>
            </w:r>
          </w:p>
        </w:tc>
        <w:tc>
          <w:tcPr>
            <w:tcW w:w="1111" w:type="pct"/>
            <w:shd w:val="clear" w:color="auto" w:fill="FFFFFF" w:themeFill="background1"/>
            <w:vAlign w:val="bottom"/>
          </w:tcPr>
          <w:p w:rsidR="002D64C5" w:rsidRPr="00F90D20" w:rsidRDefault="002D64C5" w:rsidP="002F27A9">
            <w:pPr>
              <w:pStyle w:val="Tablerow"/>
            </w:pPr>
            <w:r w:rsidRPr="00F90D20">
              <w:t>7,</w:t>
            </w:r>
            <w:r w:rsidR="00132D4D" w:rsidRPr="00F90D20">
              <w:t>900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Loddon</w:t>
            </w:r>
          </w:p>
        </w:tc>
        <w:tc>
          <w:tcPr>
            <w:tcW w:w="1111" w:type="pct"/>
            <w:shd w:val="clear" w:color="auto" w:fill="FFFFFF" w:themeFill="background1"/>
            <w:vAlign w:val="bottom"/>
          </w:tcPr>
          <w:p w:rsidR="002D64C5" w:rsidRPr="00F90D20" w:rsidRDefault="002D64C5" w:rsidP="002F27A9">
            <w:pPr>
              <w:pStyle w:val="Tablerow"/>
            </w:pPr>
            <w:r w:rsidRPr="00F90D20">
              <w:t>1,600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Mallee</w:t>
            </w:r>
          </w:p>
        </w:tc>
        <w:tc>
          <w:tcPr>
            <w:tcW w:w="1111" w:type="pct"/>
            <w:shd w:val="clear" w:color="auto" w:fill="FFFFFF" w:themeFill="background1"/>
            <w:vAlign w:val="bottom"/>
          </w:tcPr>
          <w:p w:rsidR="002D64C5" w:rsidRPr="00F90D20" w:rsidRDefault="002D64C5" w:rsidP="002F27A9">
            <w:pPr>
              <w:pStyle w:val="Tablerow"/>
            </w:pPr>
            <w:r w:rsidRPr="00F90D20">
              <w:t>1,800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North Eastern Melbourne</w:t>
            </w:r>
          </w:p>
        </w:tc>
        <w:tc>
          <w:tcPr>
            <w:tcW w:w="1111" w:type="pct"/>
            <w:shd w:val="clear" w:color="auto" w:fill="FFFFFF" w:themeFill="background1"/>
            <w:vAlign w:val="bottom"/>
          </w:tcPr>
          <w:p w:rsidR="002D64C5" w:rsidRPr="00F90D20" w:rsidRDefault="002D64C5" w:rsidP="002F27A9">
            <w:pPr>
              <w:pStyle w:val="Tablerow"/>
            </w:pPr>
            <w:r w:rsidRPr="00F90D20">
              <w:t>1,</w:t>
            </w:r>
            <w:r w:rsidR="002C5903" w:rsidRPr="00F90D20">
              <w:t>800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Outer Eastern Melbourne</w:t>
            </w:r>
          </w:p>
        </w:tc>
        <w:tc>
          <w:tcPr>
            <w:tcW w:w="1111" w:type="pct"/>
            <w:shd w:val="clear" w:color="auto" w:fill="FFFFFF" w:themeFill="background1"/>
            <w:vAlign w:val="bottom"/>
          </w:tcPr>
          <w:p w:rsidR="002D64C5" w:rsidRPr="00F90D20" w:rsidRDefault="002D64C5" w:rsidP="002F27A9">
            <w:pPr>
              <w:pStyle w:val="Tablerow"/>
            </w:pPr>
            <w:r w:rsidRPr="00F90D20">
              <w:t>1,200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Outer Gippsland</w:t>
            </w:r>
          </w:p>
        </w:tc>
        <w:tc>
          <w:tcPr>
            <w:tcW w:w="1111" w:type="pct"/>
            <w:shd w:val="clear" w:color="auto" w:fill="FFFFFF" w:themeFill="background1"/>
            <w:vAlign w:val="bottom"/>
          </w:tcPr>
          <w:p w:rsidR="002D64C5" w:rsidRPr="00F90D20" w:rsidRDefault="002D64C5" w:rsidP="002F27A9">
            <w:pPr>
              <w:pStyle w:val="Tablerow"/>
            </w:pPr>
            <w:r w:rsidRPr="00F90D20">
              <w:t>2,</w:t>
            </w:r>
            <w:r w:rsidR="00132D4D" w:rsidRPr="00F90D20">
              <w:t>900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Ovens Murray</w:t>
            </w:r>
          </w:p>
        </w:tc>
        <w:tc>
          <w:tcPr>
            <w:tcW w:w="1111" w:type="pct"/>
            <w:shd w:val="clear" w:color="auto" w:fill="FFFFFF" w:themeFill="background1"/>
            <w:vAlign w:val="bottom"/>
          </w:tcPr>
          <w:p w:rsidR="002D64C5" w:rsidRPr="00F90D20" w:rsidRDefault="002D64C5" w:rsidP="002F27A9">
            <w:pPr>
              <w:pStyle w:val="Tablerow"/>
            </w:pPr>
            <w:r w:rsidRPr="00F90D20">
              <w:t>9,</w:t>
            </w:r>
            <w:r w:rsidR="00132D4D" w:rsidRPr="00F90D20">
              <w:t>300</w:t>
            </w:r>
          </w:p>
        </w:tc>
      </w:tr>
      <w:tr w:rsidR="002D64C5" w:rsidRPr="00F90D20" w:rsidTr="00317A4B">
        <w:trPr>
          <w:tblHeader/>
        </w:trPr>
        <w:tc>
          <w:tcPr>
            <w:tcW w:w="3889" w:type="pct"/>
            <w:shd w:val="clear" w:color="auto" w:fill="FFFFFF" w:themeFill="background1"/>
          </w:tcPr>
          <w:p w:rsidR="002D64C5" w:rsidRPr="00F90D20" w:rsidRDefault="002D64C5" w:rsidP="002F27A9">
            <w:pPr>
              <w:pStyle w:val="Tablerow"/>
            </w:pPr>
            <w:r w:rsidRPr="00F90D20">
              <w:t>Southern Melbourne</w:t>
            </w:r>
          </w:p>
        </w:tc>
        <w:tc>
          <w:tcPr>
            <w:tcW w:w="1111" w:type="pct"/>
            <w:shd w:val="clear" w:color="auto" w:fill="FFFFFF" w:themeFill="background1"/>
            <w:vAlign w:val="bottom"/>
          </w:tcPr>
          <w:p w:rsidR="002D64C5" w:rsidRPr="00F90D20" w:rsidRDefault="002D64C5" w:rsidP="002F27A9">
            <w:pPr>
              <w:pStyle w:val="Tablerow"/>
            </w:pPr>
            <w:r w:rsidRPr="00F90D20">
              <w:t>1,400</w:t>
            </w:r>
          </w:p>
        </w:tc>
      </w:tr>
      <w:tr w:rsidR="002D64C5" w:rsidRPr="00F90D20" w:rsidTr="00317A4B">
        <w:trPr>
          <w:tblHeader/>
        </w:trPr>
        <w:tc>
          <w:tcPr>
            <w:tcW w:w="3889" w:type="pct"/>
            <w:tcBorders>
              <w:bottom w:val="single" w:sz="4" w:space="0" w:color="808080" w:themeColor="background1" w:themeShade="80"/>
            </w:tcBorders>
            <w:shd w:val="clear" w:color="auto" w:fill="FFFFFF" w:themeFill="background1"/>
          </w:tcPr>
          <w:p w:rsidR="002D64C5" w:rsidRPr="00F90D20" w:rsidRDefault="002D64C5" w:rsidP="002F27A9">
            <w:pPr>
              <w:pStyle w:val="Tablerow"/>
            </w:pPr>
            <w:r w:rsidRPr="00F90D20">
              <w:t>Western District</w:t>
            </w:r>
          </w:p>
        </w:tc>
        <w:tc>
          <w:tcPr>
            <w:tcW w:w="1111" w:type="pct"/>
            <w:tcBorders>
              <w:bottom w:val="single" w:sz="4" w:space="0" w:color="808080" w:themeColor="background1" w:themeShade="80"/>
            </w:tcBorders>
            <w:shd w:val="clear" w:color="auto" w:fill="FFFFFF" w:themeFill="background1"/>
            <w:vAlign w:val="bottom"/>
          </w:tcPr>
          <w:p w:rsidR="002D64C5" w:rsidRPr="00F90D20" w:rsidRDefault="002D64C5" w:rsidP="002F27A9">
            <w:pPr>
              <w:pStyle w:val="Tablerow"/>
            </w:pPr>
            <w:r w:rsidRPr="00F90D20">
              <w:t>2,</w:t>
            </w:r>
            <w:r w:rsidR="00132D4D" w:rsidRPr="00F90D20">
              <w:t>900</w:t>
            </w:r>
          </w:p>
        </w:tc>
      </w:tr>
      <w:tr w:rsidR="002D64C5" w:rsidRPr="00F90D20" w:rsidTr="00317A4B">
        <w:trPr>
          <w:tblHeader/>
        </w:trPr>
        <w:tc>
          <w:tcPr>
            <w:tcW w:w="3889" w:type="pct"/>
            <w:tcBorders>
              <w:top w:val="single" w:sz="4" w:space="0" w:color="808080" w:themeColor="background1" w:themeShade="80"/>
              <w:bottom w:val="single" w:sz="4" w:space="0" w:color="808080" w:themeColor="background1" w:themeShade="80"/>
            </w:tcBorders>
            <w:shd w:val="clear" w:color="auto" w:fill="FFFFFF" w:themeFill="background1"/>
          </w:tcPr>
          <w:p w:rsidR="002D64C5" w:rsidRPr="00F90D20" w:rsidRDefault="002D64C5" w:rsidP="002F27A9">
            <w:pPr>
              <w:pStyle w:val="Tablerow"/>
            </w:pPr>
            <w:r w:rsidRPr="00F90D20">
              <w:t>Western Melbourne</w:t>
            </w:r>
          </w:p>
        </w:tc>
        <w:tc>
          <w:tcPr>
            <w:tcW w:w="1111" w:type="pct"/>
            <w:tcBorders>
              <w:top w:val="single" w:sz="4" w:space="0" w:color="808080" w:themeColor="background1" w:themeShade="80"/>
              <w:bottom w:val="single" w:sz="4" w:space="0" w:color="808080" w:themeColor="background1" w:themeShade="80"/>
            </w:tcBorders>
            <w:shd w:val="clear" w:color="auto" w:fill="FFFFFF" w:themeFill="background1"/>
            <w:vAlign w:val="bottom"/>
          </w:tcPr>
          <w:p w:rsidR="002D64C5" w:rsidRPr="00F90D20" w:rsidRDefault="002D64C5" w:rsidP="002F27A9">
            <w:pPr>
              <w:pStyle w:val="Tablerow"/>
            </w:pPr>
            <w:r w:rsidRPr="00F90D20">
              <w:t>1,</w:t>
            </w:r>
            <w:r w:rsidR="00132D4D" w:rsidRPr="00F90D20">
              <w:t>700</w:t>
            </w:r>
          </w:p>
        </w:tc>
      </w:tr>
    </w:tbl>
    <w:p w:rsidR="0034748A" w:rsidRDefault="0034748A" w:rsidP="00737DF6">
      <w:pPr>
        <w:pStyle w:val="Caption"/>
      </w:pPr>
      <w:bookmarkStart w:id="70" w:name="_Ref432774965"/>
    </w:p>
    <w:p w:rsidR="0034748A" w:rsidRDefault="0034748A">
      <w:pPr>
        <w:keepLines w:val="0"/>
        <w:spacing w:after="0" w:line="240" w:lineRule="auto"/>
        <w:rPr>
          <w:rFonts w:eastAsia="Times New Roman"/>
          <w:b/>
          <w:bCs/>
          <w:noProof/>
          <w:color w:val="53565A"/>
          <w:spacing w:val="0"/>
        </w:rPr>
      </w:pPr>
      <w:r>
        <w:br w:type="page"/>
      </w:r>
    </w:p>
    <w:p w:rsidR="007F02D6" w:rsidRPr="0034748A" w:rsidRDefault="000E1092" w:rsidP="005A7653">
      <w:pPr>
        <w:pStyle w:val="Caption"/>
      </w:pPr>
      <w:r w:rsidRPr="00500F57">
        <w:lastRenderedPageBreak/>
        <w:t>Table</w:t>
      </w:r>
      <w:bookmarkEnd w:id="70"/>
      <w:r w:rsidR="005A7653">
        <w:t xml:space="preserve"> 12</w:t>
      </w:r>
      <w:r w:rsidRPr="00500F57">
        <w:t>:</w:t>
      </w:r>
      <w:r w:rsidR="00D55005" w:rsidRPr="00500F57">
        <w:t xml:space="preserve"> </w:t>
      </w:r>
      <w:r w:rsidRPr="00500F57">
        <w:t xml:space="preserve">Participant days </w:t>
      </w:r>
      <w:r w:rsidR="00495680" w:rsidRPr="00500F57">
        <w:t xml:space="preserve">and ratio </w:t>
      </w:r>
      <w:r w:rsidRPr="00500F57">
        <w:t>per resident population</w:t>
      </w:r>
      <w:r w:rsidR="007C32FF">
        <w:t>, by DHHS area</w:t>
      </w:r>
    </w:p>
    <w:tbl>
      <w:tblPr>
        <w:tblStyle w:val="MJAnew"/>
        <w:tblW w:w="7797" w:type="dxa"/>
        <w:tblInd w:w="108" w:type="dxa"/>
        <w:tblLayout w:type="fixed"/>
        <w:tblLook w:val="04A0" w:firstRow="1" w:lastRow="0" w:firstColumn="1" w:lastColumn="0" w:noHBand="0" w:noVBand="1"/>
      </w:tblPr>
      <w:tblGrid>
        <w:gridCol w:w="2127"/>
        <w:gridCol w:w="1417"/>
        <w:gridCol w:w="1418"/>
        <w:gridCol w:w="1701"/>
        <w:gridCol w:w="1134"/>
      </w:tblGrid>
      <w:tr w:rsidR="001602A3" w:rsidRPr="00F90D20" w:rsidTr="005A7653">
        <w:trPr>
          <w:trHeight w:val="270"/>
        </w:trPr>
        <w:tc>
          <w:tcPr>
            <w:tcW w:w="2127" w:type="dxa"/>
            <w:vAlign w:val="bottom"/>
            <w:hideMark/>
          </w:tcPr>
          <w:p w:rsidR="001602A3" w:rsidRPr="007F02D6" w:rsidRDefault="007C32FF" w:rsidP="002F27A9">
            <w:pPr>
              <w:pStyle w:val="Tablerow"/>
              <w:rPr>
                <w:b/>
              </w:rPr>
            </w:pPr>
            <w:r w:rsidRPr="007F02D6">
              <w:rPr>
                <w:b/>
              </w:rPr>
              <w:t>DHHS area</w:t>
            </w:r>
          </w:p>
        </w:tc>
        <w:tc>
          <w:tcPr>
            <w:tcW w:w="1417" w:type="dxa"/>
            <w:vAlign w:val="bottom"/>
            <w:hideMark/>
          </w:tcPr>
          <w:p w:rsidR="001602A3" w:rsidRPr="007F02D6" w:rsidRDefault="001602A3" w:rsidP="002F27A9">
            <w:pPr>
              <w:pStyle w:val="Tablerow"/>
              <w:rPr>
                <w:b/>
              </w:rPr>
            </w:pPr>
            <w:r w:rsidRPr="007F02D6">
              <w:rPr>
                <w:b/>
              </w:rPr>
              <w:t>Population</w:t>
            </w:r>
            <w:r w:rsidR="00F23557" w:rsidRPr="007F02D6">
              <w:rPr>
                <w:b/>
              </w:rPr>
              <w:br/>
              <w:t>(</w:t>
            </w:r>
            <w:r w:rsidR="00FA2F2E" w:rsidRPr="007F02D6">
              <w:rPr>
                <w:b/>
              </w:rPr>
              <w:t>’</w:t>
            </w:r>
            <w:r w:rsidR="00F23557" w:rsidRPr="007F02D6">
              <w:rPr>
                <w:b/>
              </w:rPr>
              <w:t>000)</w:t>
            </w:r>
          </w:p>
        </w:tc>
        <w:tc>
          <w:tcPr>
            <w:tcW w:w="1418" w:type="dxa"/>
            <w:vAlign w:val="bottom"/>
            <w:hideMark/>
          </w:tcPr>
          <w:p w:rsidR="001602A3" w:rsidRPr="007F02D6" w:rsidRDefault="001602A3" w:rsidP="002F27A9">
            <w:pPr>
              <w:pStyle w:val="Tablerow"/>
              <w:rPr>
                <w:b/>
              </w:rPr>
            </w:pPr>
            <w:r w:rsidRPr="007F02D6">
              <w:rPr>
                <w:b/>
              </w:rPr>
              <w:t>Participation days</w:t>
            </w:r>
            <w:r w:rsidR="00FA2F2E" w:rsidRPr="007F02D6">
              <w:rPr>
                <w:b/>
              </w:rPr>
              <w:br/>
            </w:r>
            <w:r w:rsidRPr="007F02D6">
              <w:rPr>
                <w:b/>
              </w:rPr>
              <w:t>(millions)</w:t>
            </w:r>
            <w:r w:rsidR="007C0708">
              <w:rPr>
                <w:rStyle w:val="FootnoteReference"/>
                <w:b/>
              </w:rPr>
              <w:footnoteReference w:id="6"/>
            </w:r>
          </w:p>
        </w:tc>
        <w:tc>
          <w:tcPr>
            <w:tcW w:w="1701" w:type="dxa"/>
            <w:vAlign w:val="bottom"/>
          </w:tcPr>
          <w:p w:rsidR="001602A3" w:rsidRPr="007F02D6" w:rsidRDefault="001602A3" w:rsidP="002F27A9">
            <w:pPr>
              <w:pStyle w:val="Tablerow"/>
              <w:rPr>
                <w:b/>
              </w:rPr>
            </w:pPr>
            <w:r w:rsidRPr="007F02D6">
              <w:rPr>
                <w:b/>
              </w:rPr>
              <w:t>Participation rate (exercised in previous year)</w:t>
            </w:r>
          </w:p>
        </w:tc>
        <w:tc>
          <w:tcPr>
            <w:tcW w:w="1134" w:type="dxa"/>
            <w:noWrap/>
            <w:vAlign w:val="bottom"/>
            <w:hideMark/>
          </w:tcPr>
          <w:p w:rsidR="001602A3" w:rsidRPr="007F02D6" w:rsidRDefault="001602A3" w:rsidP="002F27A9">
            <w:pPr>
              <w:pStyle w:val="Tablerow"/>
              <w:rPr>
                <w:b/>
              </w:rPr>
            </w:pPr>
            <w:r w:rsidRPr="007F02D6">
              <w:rPr>
                <w:b/>
              </w:rPr>
              <w:t>Days per active person</w:t>
            </w:r>
          </w:p>
        </w:tc>
      </w:tr>
      <w:tr w:rsidR="005B2147" w:rsidRPr="00F90D20" w:rsidTr="005A7653">
        <w:trPr>
          <w:trHeight w:val="60"/>
        </w:trPr>
        <w:tc>
          <w:tcPr>
            <w:tcW w:w="2127" w:type="dxa"/>
            <w:vAlign w:val="bottom"/>
          </w:tcPr>
          <w:p w:rsidR="005B2147" w:rsidRPr="00F90D20" w:rsidRDefault="005B2147" w:rsidP="002F27A9">
            <w:pPr>
              <w:pStyle w:val="Tablerow"/>
            </w:pPr>
            <w:r w:rsidRPr="00F90D20">
              <w:t>Total</w:t>
            </w:r>
          </w:p>
        </w:tc>
        <w:tc>
          <w:tcPr>
            <w:tcW w:w="1417" w:type="dxa"/>
            <w:vAlign w:val="bottom"/>
          </w:tcPr>
          <w:p w:rsidR="005B2147" w:rsidRPr="00F90D20" w:rsidRDefault="005B2147" w:rsidP="002F27A9">
            <w:pPr>
              <w:pStyle w:val="Tablerow"/>
            </w:pPr>
            <w:r w:rsidRPr="00F90D20">
              <w:t>4,838</w:t>
            </w:r>
          </w:p>
        </w:tc>
        <w:tc>
          <w:tcPr>
            <w:tcW w:w="1418" w:type="dxa"/>
            <w:vAlign w:val="bottom"/>
          </w:tcPr>
          <w:p w:rsidR="005B2147" w:rsidRPr="00F90D20" w:rsidRDefault="005B2147" w:rsidP="002F27A9">
            <w:pPr>
              <w:pStyle w:val="Tablerow"/>
            </w:pPr>
            <w:r w:rsidRPr="00F90D20">
              <w:t>76.5</w:t>
            </w:r>
          </w:p>
        </w:tc>
        <w:tc>
          <w:tcPr>
            <w:tcW w:w="1701" w:type="dxa"/>
            <w:vAlign w:val="bottom"/>
          </w:tcPr>
          <w:p w:rsidR="005B2147" w:rsidRPr="00F90D20" w:rsidRDefault="005B2147" w:rsidP="002F27A9">
            <w:pPr>
              <w:pStyle w:val="Tablerow"/>
              <w:rPr>
                <w:sz w:val="20"/>
              </w:rPr>
            </w:pPr>
            <w:r>
              <w:rPr>
                <w:sz w:val="20"/>
              </w:rPr>
              <w:t>-</w:t>
            </w:r>
          </w:p>
        </w:tc>
        <w:tc>
          <w:tcPr>
            <w:tcW w:w="1134" w:type="dxa"/>
            <w:vAlign w:val="bottom"/>
          </w:tcPr>
          <w:p w:rsidR="005B2147" w:rsidRPr="00F90D20" w:rsidRDefault="005B2147" w:rsidP="002F27A9">
            <w:pPr>
              <w:pStyle w:val="Tablerow"/>
              <w:rPr>
                <w:sz w:val="20"/>
              </w:rPr>
            </w:pPr>
            <w:r>
              <w:rPr>
                <w:sz w:val="20"/>
              </w:rPr>
              <w:t>-</w:t>
            </w:r>
          </w:p>
        </w:tc>
      </w:tr>
      <w:tr w:rsidR="005F3037" w:rsidRPr="00F90D20" w:rsidTr="005A7653">
        <w:trPr>
          <w:trHeight w:val="60"/>
        </w:trPr>
        <w:tc>
          <w:tcPr>
            <w:tcW w:w="2127" w:type="dxa"/>
            <w:vAlign w:val="bottom"/>
          </w:tcPr>
          <w:p w:rsidR="005F3037" w:rsidRPr="00F90D20" w:rsidRDefault="005F3037" w:rsidP="002F27A9">
            <w:pPr>
              <w:pStyle w:val="Tablerow"/>
            </w:pPr>
            <w:r w:rsidRPr="00F90D20">
              <w:t>Barwon</w:t>
            </w:r>
          </w:p>
        </w:tc>
        <w:tc>
          <w:tcPr>
            <w:tcW w:w="1417" w:type="dxa"/>
            <w:vAlign w:val="bottom"/>
          </w:tcPr>
          <w:p w:rsidR="005F3037" w:rsidRPr="00F90D20" w:rsidRDefault="005F3037" w:rsidP="002F27A9">
            <w:pPr>
              <w:pStyle w:val="Tablerow"/>
            </w:pPr>
            <w:r w:rsidRPr="00F90D20">
              <w:t>234.3</w:t>
            </w:r>
          </w:p>
        </w:tc>
        <w:tc>
          <w:tcPr>
            <w:tcW w:w="1418" w:type="dxa"/>
            <w:vAlign w:val="bottom"/>
          </w:tcPr>
          <w:p w:rsidR="005F3037" w:rsidRPr="00F90D20" w:rsidRDefault="005F3037" w:rsidP="002F27A9">
            <w:pPr>
              <w:pStyle w:val="Tablerow"/>
            </w:pPr>
            <w:r w:rsidRPr="00F90D20">
              <w:t>4.1</w:t>
            </w:r>
          </w:p>
        </w:tc>
        <w:tc>
          <w:tcPr>
            <w:tcW w:w="1701" w:type="dxa"/>
            <w:vAlign w:val="bottom"/>
          </w:tcPr>
          <w:p w:rsidR="005F3037" w:rsidRPr="00F90D20" w:rsidRDefault="005F3037" w:rsidP="002F27A9">
            <w:pPr>
              <w:pStyle w:val="Tablerow"/>
            </w:pPr>
            <w:r w:rsidRPr="00F90D20">
              <w:t>83%</w:t>
            </w:r>
          </w:p>
        </w:tc>
        <w:tc>
          <w:tcPr>
            <w:tcW w:w="1134" w:type="dxa"/>
            <w:vAlign w:val="bottom"/>
          </w:tcPr>
          <w:p w:rsidR="005F3037" w:rsidRPr="00F90D20" w:rsidRDefault="005F3037" w:rsidP="002F27A9">
            <w:pPr>
              <w:pStyle w:val="Tablerow"/>
            </w:pPr>
            <w:r w:rsidRPr="00F90D20">
              <w:t>21.2</w:t>
            </w:r>
          </w:p>
        </w:tc>
      </w:tr>
      <w:tr w:rsidR="005F3037" w:rsidRPr="00F90D20" w:rsidTr="005A7653">
        <w:trPr>
          <w:trHeight w:val="60"/>
        </w:trPr>
        <w:tc>
          <w:tcPr>
            <w:tcW w:w="2127" w:type="dxa"/>
            <w:vAlign w:val="bottom"/>
          </w:tcPr>
          <w:p w:rsidR="005F3037" w:rsidRPr="00F90D20" w:rsidRDefault="005F3037" w:rsidP="002F27A9">
            <w:pPr>
              <w:pStyle w:val="Tablerow"/>
            </w:pPr>
            <w:r w:rsidRPr="00F90D20">
              <w:t>Bayside Peninsula</w:t>
            </w:r>
          </w:p>
        </w:tc>
        <w:tc>
          <w:tcPr>
            <w:tcW w:w="1417" w:type="dxa"/>
            <w:vAlign w:val="bottom"/>
          </w:tcPr>
          <w:p w:rsidR="005F3037" w:rsidRPr="00F90D20" w:rsidRDefault="005F3037" w:rsidP="002F27A9">
            <w:pPr>
              <w:pStyle w:val="Tablerow"/>
            </w:pPr>
            <w:r w:rsidRPr="00F90D20">
              <w:t>735.7</w:t>
            </w:r>
          </w:p>
        </w:tc>
        <w:tc>
          <w:tcPr>
            <w:tcW w:w="1418" w:type="dxa"/>
            <w:vAlign w:val="bottom"/>
          </w:tcPr>
          <w:p w:rsidR="005F3037" w:rsidRPr="00F90D20" w:rsidRDefault="005F3037" w:rsidP="002F27A9">
            <w:pPr>
              <w:pStyle w:val="Tablerow"/>
            </w:pPr>
            <w:r w:rsidRPr="00F90D20">
              <w:t>13.3</w:t>
            </w:r>
          </w:p>
        </w:tc>
        <w:tc>
          <w:tcPr>
            <w:tcW w:w="1701" w:type="dxa"/>
            <w:vAlign w:val="bottom"/>
          </w:tcPr>
          <w:p w:rsidR="005F3037" w:rsidRPr="00F90D20" w:rsidRDefault="005F3037" w:rsidP="002F27A9">
            <w:pPr>
              <w:pStyle w:val="Tablerow"/>
            </w:pPr>
            <w:r w:rsidRPr="00F90D20">
              <w:t>84%</w:t>
            </w:r>
          </w:p>
        </w:tc>
        <w:tc>
          <w:tcPr>
            <w:tcW w:w="1134" w:type="dxa"/>
            <w:vAlign w:val="bottom"/>
          </w:tcPr>
          <w:p w:rsidR="005F3037" w:rsidRPr="00F90D20" w:rsidRDefault="005F3037" w:rsidP="002F27A9">
            <w:pPr>
              <w:pStyle w:val="Tablerow"/>
            </w:pPr>
            <w:r w:rsidRPr="00F90D20">
              <w:t>21.4</w:t>
            </w:r>
          </w:p>
        </w:tc>
      </w:tr>
      <w:tr w:rsidR="005F3037" w:rsidRPr="00F90D20" w:rsidTr="005A7653">
        <w:trPr>
          <w:trHeight w:val="60"/>
        </w:trPr>
        <w:tc>
          <w:tcPr>
            <w:tcW w:w="2127" w:type="dxa"/>
            <w:vAlign w:val="bottom"/>
          </w:tcPr>
          <w:p w:rsidR="005F3037" w:rsidRPr="00F90D20" w:rsidRDefault="005F3037" w:rsidP="002F27A9">
            <w:pPr>
              <w:pStyle w:val="Tablerow"/>
            </w:pPr>
            <w:proofErr w:type="spellStart"/>
            <w:r w:rsidRPr="00F90D20">
              <w:t>Brimbank</w:t>
            </w:r>
            <w:proofErr w:type="spellEnd"/>
            <w:r w:rsidRPr="00F90D20">
              <w:t xml:space="preserve"> Melton</w:t>
            </w:r>
          </w:p>
        </w:tc>
        <w:tc>
          <w:tcPr>
            <w:tcW w:w="1417" w:type="dxa"/>
            <w:vAlign w:val="bottom"/>
          </w:tcPr>
          <w:p w:rsidR="005F3037" w:rsidRPr="00F90D20" w:rsidRDefault="005F3037" w:rsidP="002F27A9">
            <w:pPr>
              <w:pStyle w:val="Tablerow"/>
            </w:pPr>
            <w:r w:rsidRPr="00F90D20">
              <w:t>260.6</w:t>
            </w:r>
          </w:p>
        </w:tc>
        <w:tc>
          <w:tcPr>
            <w:tcW w:w="1418" w:type="dxa"/>
            <w:vAlign w:val="bottom"/>
          </w:tcPr>
          <w:p w:rsidR="005F3037" w:rsidRPr="00F90D20" w:rsidRDefault="005F3037" w:rsidP="002F27A9">
            <w:pPr>
              <w:pStyle w:val="Tablerow"/>
            </w:pPr>
            <w:r w:rsidRPr="00F90D20">
              <w:t>3.3</w:t>
            </w:r>
          </w:p>
        </w:tc>
        <w:tc>
          <w:tcPr>
            <w:tcW w:w="1701" w:type="dxa"/>
            <w:vAlign w:val="bottom"/>
          </w:tcPr>
          <w:p w:rsidR="005F3037" w:rsidRPr="00F90D20" w:rsidRDefault="005F3037" w:rsidP="002F27A9">
            <w:pPr>
              <w:pStyle w:val="Tablerow"/>
            </w:pPr>
            <w:r w:rsidRPr="00F90D20">
              <w:t>72%</w:t>
            </w:r>
          </w:p>
        </w:tc>
        <w:tc>
          <w:tcPr>
            <w:tcW w:w="1134" w:type="dxa"/>
            <w:vAlign w:val="bottom"/>
          </w:tcPr>
          <w:p w:rsidR="005F3037" w:rsidRPr="00F90D20" w:rsidRDefault="005F3037" w:rsidP="002F27A9">
            <w:pPr>
              <w:pStyle w:val="Tablerow"/>
            </w:pPr>
            <w:r w:rsidRPr="00F90D20">
              <w:t>17.2</w:t>
            </w:r>
          </w:p>
        </w:tc>
      </w:tr>
      <w:tr w:rsidR="005F3037" w:rsidRPr="00F90D20" w:rsidTr="005A7653">
        <w:trPr>
          <w:trHeight w:val="60"/>
        </w:trPr>
        <w:tc>
          <w:tcPr>
            <w:tcW w:w="2127" w:type="dxa"/>
            <w:vAlign w:val="bottom"/>
          </w:tcPr>
          <w:p w:rsidR="005F3037" w:rsidRPr="00F90D20" w:rsidRDefault="005F3037" w:rsidP="002F27A9">
            <w:pPr>
              <w:pStyle w:val="Tablerow"/>
            </w:pPr>
            <w:r w:rsidRPr="00F90D20">
              <w:t>Central Highlands</w:t>
            </w:r>
          </w:p>
        </w:tc>
        <w:tc>
          <w:tcPr>
            <w:tcW w:w="1417" w:type="dxa"/>
            <w:vAlign w:val="bottom"/>
          </w:tcPr>
          <w:p w:rsidR="005F3037" w:rsidRPr="00F90D20" w:rsidRDefault="005F3037" w:rsidP="002F27A9">
            <w:pPr>
              <w:pStyle w:val="Tablerow"/>
            </w:pPr>
            <w:r w:rsidRPr="00F90D20">
              <w:t>153.2</w:t>
            </w:r>
          </w:p>
        </w:tc>
        <w:tc>
          <w:tcPr>
            <w:tcW w:w="1418" w:type="dxa"/>
            <w:vAlign w:val="bottom"/>
          </w:tcPr>
          <w:p w:rsidR="005F3037" w:rsidRPr="00F90D20" w:rsidRDefault="005F3037" w:rsidP="002F27A9">
            <w:pPr>
              <w:pStyle w:val="Tablerow"/>
            </w:pPr>
            <w:r w:rsidRPr="00F90D20">
              <w:t>2.2</w:t>
            </w:r>
          </w:p>
        </w:tc>
        <w:tc>
          <w:tcPr>
            <w:tcW w:w="1701" w:type="dxa"/>
            <w:vAlign w:val="bottom"/>
          </w:tcPr>
          <w:p w:rsidR="005F3037" w:rsidRPr="00F90D20" w:rsidRDefault="005F3037" w:rsidP="002F27A9">
            <w:pPr>
              <w:pStyle w:val="Tablerow"/>
            </w:pPr>
            <w:r w:rsidRPr="00F90D20">
              <w:t>81%</w:t>
            </w:r>
          </w:p>
        </w:tc>
        <w:tc>
          <w:tcPr>
            <w:tcW w:w="1134" w:type="dxa"/>
            <w:vAlign w:val="bottom"/>
          </w:tcPr>
          <w:p w:rsidR="005F3037" w:rsidRPr="00F90D20" w:rsidRDefault="005F3037" w:rsidP="002F27A9">
            <w:pPr>
              <w:pStyle w:val="Tablerow"/>
            </w:pPr>
            <w:r w:rsidRPr="00F90D20">
              <w:t>18.1</w:t>
            </w:r>
          </w:p>
        </w:tc>
      </w:tr>
      <w:tr w:rsidR="005F3037" w:rsidRPr="00F90D20" w:rsidTr="005A7653">
        <w:trPr>
          <w:trHeight w:val="60"/>
        </w:trPr>
        <w:tc>
          <w:tcPr>
            <w:tcW w:w="2127" w:type="dxa"/>
            <w:vAlign w:val="bottom"/>
          </w:tcPr>
          <w:p w:rsidR="005F3037" w:rsidRPr="00F90D20" w:rsidRDefault="005F3037" w:rsidP="002F27A9">
            <w:pPr>
              <w:pStyle w:val="Tablerow"/>
            </w:pPr>
            <w:r w:rsidRPr="00F90D20">
              <w:t>Goulburn</w:t>
            </w:r>
          </w:p>
        </w:tc>
        <w:tc>
          <w:tcPr>
            <w:tcW w:w="1417" w:type="dxa"/>
            <w:vAlign w:val="bottom"/>
          </w:tcPr>
          <w:p w:rsidR="005F3037" w:rsidRPr="00F90D20" w:rsidRDefault="005F3037" w:rsidP="002F27A9">
            <w:pPr>
              <w:pStyle w:val="Tablerow"/>
            </w:pPr>
            <w:r w:rsidRPr="00F90D20">
              <w:t>127.8</w:t>
            </w:r>
          </w:p>
        </w:tc>
        <w:tc>
          <w:tcPr>
            <w:tcW w:w="1418" w:type="dxa"/>
            <w:vAlign w:val="bottom"/>
          </w:tcPr>
          <w:p w:rsidR="005F3037" w:rsidRPr="00F90D20" w:rsidRDefault="005F3037" w:rsidP="002F27A9">
            <w:pPr>
              <w:pStyle w:val="Tablerow"/>
            </w:pPr>
            <w:r w:rsidRPr="00F90D20">
              <w:t>1.9</w:t>
            </w:r>
          </w:p>
        </w:tc>
        <w:tc>
          <w:tcPr>
            <w:tcW w:w="1701" w:type="dxa"/>
            <w:vAlign w:val="bottom"/>
          </w:tcPr>
          <w:p w:rsidR="005F3037" w:rsidRPr="00F90D20" w:rsidRDefault="005F3037" w:rsidP="002F27A9">
            <w:pPr>
              <w:pStyle w:val="Tablerow"/>
            </w:pPr>
            <w:r w:rsidRPr="00F90D20">
              <w:t>79%</w:t>
            </w:r>
          </w:p>
        </w:tc>
        <w:tc>
          <w:tcPr>
            <w:tcW w:w="1134" w:type="dxa"/>
            <w:vAlign w:val="bottom"/>
          </w:tcPr>
          <w:p w:rsidR="005F3037" w:rsidRPr="00F90D20" w:rsidRDefault="005F3037" w:rsidP="002F27A9">
            <w:pPr>
              <w:pStyle w:val="Tablerow"/>
            </w:pPr>
            <w:r w:rsidRPr="00F90D20">
              <w:t>18.5</w:t>
            </w:r>
          </w:p>
        </w:tc>
      </w:tr>
      <w:tr w:rsidR="005F3037" w:rsidRPr="00F90D20" w:rsidTr="005A7653">
        <w:trPr>
          <w:trHeight w:val="199"/>
        </w:trPr>
        <w:tc>
          <w:tcPr>
            <w:tcW w:w="2127" w:type="dxa"/>
            <w:vAlign w:val="bottom"/>
          </w:tcPr>
          <w:p w:rsidR="005F3037" w:rsidRPr="00F90D20" w:rsidRDefault="005F3037" w:rsidP="002F27A9">
            <w:pPr>
              <w:pStyle w:val="Tablerow"/>
            </w:pPr>
            <w:r w:rsidRPr="00F90D20">
              <w:t>Hume Moreland</w:t>
            </w:r>
          </w:p>
        </w:tc>
        <w:tc>
          <w:tcPr>
            <w:tcW w:w="1417" w:type="dxa"/>
            <w:vAlign w:val="bottom"/>
          </w:tcPr>
          <w:p w:rsidR="005F3037" w:rsidRPr="00F90D20" w:rsidRDefault="005F3037" w:rsidP="002F27A9">
            <w:pPr>
              <w:pStyle w:val="Tablerow"/>
            </w:pPr>
            <w:r w:rsidRPr="00F90D20">
              <w:t>289.9</w:t>
            </w:r>
          </w:p>
        </w:tc>
        <w:tc>
          <w:tcPr>
            <w:tcW w:w="1418" w:type="dxa"/>
            <w:vAlign w:val="bottom"/>
          </w:tcPr>
          <w:p w:rsidR="005F3037" w:rsidRPr="00F90D20" w:rsidRDefault="005F3037" w:rsidP="002F27A9">
            <w:pPr>
              <w:pStyle w:val="Tablerow"/>
            </w:pPr>
            <w:r w:rsidRPr="00F90D20">
              <w:t>4.4</w:t>
            </w:r>
          </w:p>
        </w:tc>
        <w:tc>
          <w:tcPr>
            <w:tcW w:w="1701" w:type="dxa"/>
            <w:vAlign w:val="bottom"/>
          </w:tcPr>
          <w:p w:rsidR="005F3037" w:rsidRPr="00F90D20" w:rsidRDefault="005F3037" w:rsidP="002F27A9">
            <w:pPr>
              <w:pStyle w:val="Tablerow"/>
            </w:pPr>
            <w:r w:rsidRPr="00F90D20">
              <w:t>78%</w:t>
            </w:r>
          </w:p>
        </w:tc>
        <w:tc>
          <w:tcPr>
            <w:tcW w:w="1134" w:type="dxa"/>
            <w:vAlign w:val="bottom"/>
          </w:tcPr>
          <w:p w:rsidR="005F3037" w:rsidRPr="00F90D20" w:rsidRDefault="005F3037" w:rsidP="002F27A9">
            <w:pPr>
              <w:pStyle w:val="Tablerow"/>
            </w:pPr>
            <w:r w:rsidRPr="00F90D20">
              <w:t>19.5</w:t>
            </w:r>
          </w:p>
        </w:tc>
      </w:tr>
      <w:tr w:rsidR="005F3037" w:rsidRPr="00F90D20" w:rsidTr="005A7653">
        <w:trPr>
          <w:trHeight w:val="62"/>
        </w:trPr>
        <w:tc>
          <w:tcPr>
            <w:tcW w:w="2127" w:type="dxa"/>
            <w:vAlign w:val="bottom"/>
          </w:tcPr>
          <w:p w:rsidR="005F3037" w:rsidRPr="00F90D20" w:rsidRDefault="005F3037" w:rsidP="002F27A9">
            <w:pPr>
              <w:pStyle w:val="Tablerow"/>
            </w:pPr>
            <w:r w:rsidRPr="00F90D20">
              <w:t>Inner Eastern Melbourne</w:t>
            </w:r>
          </w:p>
        </w:tc>
        <w:tc>
          <w:tcPr>
            <w:tcW w:w="1417" w:type="dxa"/>
            <w:vAlign w:val="bottom"/>
          </w:tcPr>
          <w:p w:rsidR="005F3037" w:rsidRPr="00F90D20" w:rsidRDefault="005F3037" w:rsidP="002F27A9">
            <w:pPr>
              <w:pStyle w:val="Tablerow"/>
            </w:pPr>
            <w:r w:rsidRPr="00F90D20">
              <w:t>524.5</w:t>
            </w:r>
          </w:p>
        </w:tc>
        <w:tc>
          <w:tcPr>
            <w:tcW w:w="1418" w:type="dxa"/>
            <w:vAlign w:val="bottom"/>
          </w:tcPr>
          <w:p w:rsidR="005F3037" w:rsidRPr="00F90D20" w:rsidRDefault="005F3037" w:rsidP="002F27A9">
            <w:pPr>
              <w:pStyle w:val="Tablerow"/>
            </w:pPr>
            <w:r w:rsidRPr="00F90D20">
              <w:t>8.2</w:t>
            </w:r>
          </w:p>
        </w:tc>
        <w:tc>
          <w:tcPr>
            <w:tcW w:w="1701" w:type="dxa"/>
            <w:vAlign w:val="bottom"/>
          </w:tcPr>
          <w:p w:rsidR="005F3037" w:rsidRPr="00F90D20" w:rsidRDefault="005F3037" w:rsidP="002F27A9">
            <w:pPr>
              <w:pStyle w:val="Tablerow"/>
            </w:pPr>
            <w:r w:rsidRPr="00F90D20">
              <w:t>84%</w:t>
            </w:r>
          </w:p>
        </w:tc>
        <w:tc>
          <w:tcPr>
            <w:tcW w:w="1134" w:type="dxa"/>
            <w:vAlign w:val="bottom"/>
          </w:tcPr>
          <w:p w:rsidR="005F3037" w:rsidRPr="00F90D20" w:rsidRDefault="005F3037" w:rsidP="002F27A9">
            <w:pPr>
              <w:pStyle w:val="Tablerow"/>
            </w:pPr>
            <w:r w:rsidRPr="00F90D20">
              <w:t>18.5</w:t>
            </w:r>
          </w:p>
        </w:tc>
      </w:tr>
      <w:tr w:rsidR="005F3037" w:rsidRPr="00F90D20" w:rsidTr="005A7653">
        <w:trPr>
          <w:trHeight w:val="65"/>
        </w:trPr>
        <w:tc>
          <w:tcPr>
            <w:tcW w:w="2127" w:type="dxa"/>
            <w:vAlign w:val="bottom"/>
          </w:tcPr>
          <w:p w:rsidR="005F3037" w:rsidRPr="00F90D20" w:rsidRDefault="005F3037" w:rsidP="002F27A9">
            <w:pPr>
              <w:pStyle w:val="Tablerow"/>
            </w:pPr>
            <w:r w:rsidRPr="00F90D20">
              <w:t>Inner Gippsland</w:t>
            </w:r>
          </w:p>
        </w:tc>
        <w:tc>
          <w:tcPr>
            <w:tcW w:w="1417" w:type="dxa"/>
            <w:vAlign w:val="bottom"/>
          </w:tcPr>
          <w:p w:rsidR="005F3037" w:rsidRPr="00F90D20" w:rsidRDefault="005F3037" w:rsidP="002F27A9">
            <w:pPr>
              <w:pStyle w:val="Tablerow"/>
            </w:pPr>
            <w:r w:rsidRPr="00F90D20">
              <w:t>150.3</w:t>
            </w:r>
          </w:p>
        </w:tc>
        <w:tc>
          <w:tcPr>
            <w:tcW w:w="1418" w:type="dxa"/>
            <w:vAlign w:val="bottom"/>
          </w:tcPr>
          <w:p w:rsidR="005F3037" w:rsidRPr="00F90D20" w:rsidRDefault="005F3037" w:rsidP="002F27A9">
            <w:pPr>
              <w:pStyle w:val="Tablerow"/>
            </w:pPr>
            <w:r w:rsidRPr="00F90D20">
              <w:t>2.2</w:t>
            </w:r>
          </w:p>
        </w:tc>
        <w:tc>
          <w:tcPr>
            <w:tcW w:w="1701" w:type="dxa"/>
            <w:vAlign w:val="bottom"/>
          </w:tcPr>
          <w:p w:rsidR="005F3037" w:rsidRPr="00F90D20" w:rsidRDefault="005F3037" w:rsidP="002F27A9">
            <w:pPr>
              <w:pStyle w:val="Tablerow"/>
            </w:pPr>
            <w:r w:rsidRPr="00F90D20">
              <w:t>80%</w:t>
            </w:r>
          </w:p>
        </w:tc>
        <w:tc>
          <w:tcPr>
            <w:tcW w:w="1134" w:type="dxa"/>
            <w:vAlign w:val="bottom"/>
          </w:tcPr>
          <w:p w:rsidR="005F3037" w:rsidRPr="00F90D20" w:rsidRDefault="005F3037" w:rsidP="002F27A9">
            <w:pPr>
              <w:pStyle w:val="Tablerow"/>
            </w:pPr>
            <w:r w:rsidRPr="00F90D20">
              <w:t>18.3</w:t>
            </w:r>
          </w:p>
        </w:tc>
      </w:tr>
      <w:tr w:rsidR="005F3037" w:rsidRPr="00F90D20" w:rsidTr="005A7653">
        <w:trPr>
          <w:trHeight w:val="60"/>
        </w:trPr>
        <w:tc>
          <w:tcPr>
            <w:tcW w:w="2127" w:type="dxa"/>
            <w:vAlign w:val="bottom"/>
          </w:tcPr>
          <w:p w:rsidR="005F3037" w:rsidRPr="00F90D20" w:rsidRDefault="005F3037" w:rsidP="002F27A9">
            <w:pPr>
              <w:pStyle w:val="Tablerow"/>
            </w:pPr>
            <w:r w:rsidRPr="00F90D20">
              <w:t>Loddon</w:t>
            </w:r>
          </w:p>
        </w:tc>
        <w:tc>
          <w:tcPr>
            <w:tcW w:w="1417" w:type="dxa"/>
            <w:vAlign w:val="bottom"/>
          </w:tcPr>
          <w:p w:rsidR="005F3037" w:rsidRPr="00F90D20" w:rsidRDefault="005F3037" w:rsidP="002F27A9">
            <w:pPr>
              <w:pStyle w:val="Tablerow"/>
            </w:pPr>
            <w:r w:rsidRPr="00F90D20">
              <w:t>189.6</w:t>
            </w:r>
          </w:p>
        </w:tc>
        <w:tc>
          <w:tcPr>
            <w:tcW w:w="1418" w:type="dxa"/>
            <w:vAlign w:val="bottom"/>
          </w:tcPr>
          <w:p w:rsidR="005F3037" w:rsidRPr="00F90D20" w:rsidRDefault="005F3037" w:rsidP="002F27A9">
            <w:pPr>
              <w:pStyle w:val="Tablerow"/>
            </w:pPr>
            <w:r w:rsidRPr="00F90D20">
              <w:t>2.5</w:t>
            </w:r>
          </w:p>
        </w:tc>
        <w:tc>
          <w:tcPr>
            <w:tcW w:w="1701" w:type="dxa"/>
            <w:vAlign w:val="bottom"/>
          </w:tcPr>
          <w:p w:rsidR="005F3037" w:rsidRPr="00F90D20" w:rsidRDefault="005F3037" w:rsidP="002F27A9">
            <w:pPr>
              <w:pStyle w:val="Tablerow"/>
            </w:pPr>
            <w:r w:rsidRPr="00F90D20">
              <w:t>80%</w:t>
            </w:r>
          </w:p>
        </w:tc>
        <w:tc>
          <w:tcPr>
            <w:tcW w:w="1134" w:type="dxa"/>
            <w:vAlign w:val="bottom"/>
          </w:tcPr>
          <w:p w:rsidR="005F3037" w:rsidRPr="00F90D20" w:rsidRDefault="005F3037" w:rsidP="002F27A9">
            <w:pPr>
              <w:pStyle w:val="Tablerow"/>
            </w:pPr>
            <w:r w:rsidRPr="00F90D20">
              <w:t>16.3</w:t>
            </w:r>
          </w:p>
        </w:tc>
      </w:tr>
      <w:tr w:rsidR="005F3037" w:rsidRPr="00F90D20" w:rsidTr="005A7653">
        <w:trPr>
          <w:trHeight w:val="62"/>
        </w:trPr>
        <w:tc>
          <w:tcPr>
            <w:tcW w:w="2127" w:type="dxa"/>
            <w:vAlign w:val="bottom"/>
          </w:tcPr>
          <w:p w:rsidR="005F3037" w:rsidRPr="00F90D20" w:rsidRDefault="005F3037" w:rsidP="002F27A9">
            <w:pPr>
              <w:pStyle w:val="Tablerow"/>
            </w:pPr>
            <w:r w:rsidRPr="00F90D20">
              <w:t>Mallee</w:t>
            </w:r>
          </w:p>
        </w:tc>
        <w:tc>
          <w:tcPr>
            <w:tcW w:w="1417" w:type="dxa"/>
            <w:vAlign w:val="bottom"/>
          </w:tcPr>
          <w:p w:rsidR="005F3037" w:rsidRPr="00F90D20" w:rsidRDefault="005F3037" w:rsidP="002F27A9">
            <w:pPr>
              <w:pStyle w:val="Tablerow"/>
            </w:pPr>
            <w:r w:rsidRPr="00F90D20">
              <w:t>74.4</w:t>
            </w:r>
          </w:p>
        </w:tc>
        <w:tc>
          <w:tcPr>
            <w:tcW w:w="1418" w:type="dxa"/>
            <w:vAlign w:val="bottom"/>
          </w:tcPr>
          <w:p w:rsidR="005F3037" w:rsidRPr="00F90D20" w:rsidRDefault="005F3037" w:rsidP="002F27A9">
            <w:pPr>
              <w:pStyle w:val="Tablerow"/>
            </w:pPr>
            <w:r w:rsidRPr="00F90D20">
              <w:t>1.0</w:t>
            </w:r>
          </w:p>
        </w:tc>
        <w:tc>
          <w:tcPr>
            <w:tcW w:w="1701" w:type="dxa"/>
            <w:vAlign w:val="bottom"/>
          </w:tcPr>
          <w:p w:rsidR="005F3037" w:rsidRPr="00F90D20" w:rsidRDefault="005F3037" w:rsidP="002F27A9">
            <w:pPr>
              <w:pStyle w:val="Tablerow"/>
            </w:pPr>
            <w:r w:rsidRPr="00F90D20">
              <w:t>76%</w:t>
            </w:r>
          </w:p>
        </w:tc>
        <w:tc>
          <w:tcPr>
            <w:tcW w:w="1134" w:type="dxa"/>
            <w:vAlign w:val="bottom"/>
          </w:tcPr>
          <w:p w:rsidR="005F3037" w:rsidRPr="00F90D20" w:rsidRDefault="005F3037" w:rsidP="002F27A9">
            <w:pPr>
              <w:pStyle w:val="Tablerow"/>
            </w:pPr>
            <w:r w:rsidRPr="00F90D20">
              <w:t>17.6</w:t>
            </w:r>
          </w:p>
        </w:tc>
      </w:tr>
      <w:tr w:rsidR="005F3037" w:rsidRPr="00F90D20" w:rsidTr="005A7653">
        <w:trPr>
          <w:trHeight w:val="161"/>
        </w:trPr>
        <w:tc>
          <w:tcPr>
            <w:tcW w:w="2127" w:type="dxa"/>
            <w:vAlign w:val="bottom"/>
          </w:tcPr>
          <w:p w:rsidR="005F3037" w:rsidRPr="00F90D20" w:rsidRDefault="005F3037" w:rsidP="002F27A9">
            <w:pPr>
              <w:pStyle w:val="Tablerow"/>
            </w:pPr>
            <w:r w:rsidRPr="00F90D20">
              <w:t>North Eastern Melbourne</w:t>
            </w:r>
          </w:p>
        </w:tc>
        <w:tc>
          <w:tcPr>
            <w:tcW w:w="1417" w:type="dxa"/>
            <w:vAlign w:val="bottom"/>
          </w:tcPr>
          <w:p w:rsidR="005F3037" w:rsidRPr="00F90D20" w:rsidRDefault="005F3037" w:rsidP="002F27A9">
            <w:pPr>
              <w:pStyle w:val="Tablerow"/>
            </w:pPr>
            <w:r w:rsidRPr="00F90D20">
              <w:t>504.6</w:t>
            </w:r>
          </w:p>
        </w:tc>
        <w:tc>
          <w:tcPr>
            <w:tcW w:w="1418" w:type="dxa"/>
            <w:vAlign w:val="bottom"/>
          </w:tcPr>
          <w:p w:rsidR="005F3037" w:rsidRPr="00F90D20" w:rsidRDefault="005F3037" w:rsidP="002F27A9">
            <w:pPr>
              <w:pStyle w:val="Tablerow"/>
            </w:pPr>
            <w:r w:rsidRPr="00F90D20">
              <w:t>8.6</w:t>
            </w:r>
          </w:p>
        </w:tc>
        <w:tc>
          <w:tcPr>
            <w:tcW w:w="1701" w:type="dxa"/>
            <w:vAlign w:val="bottom"/>
          </w:tcPr>
          <w:p w:rsidR="005F3037" w:rsidRPr="00F90D20" w:rsidRDefault="005F3037" w:rsidP="002F27A9">
            <w:pPr>
              <w:pStyle w:val="Tablerow"/>
            </w:pPr>
            <w:r w:rsidRPr="00F90D20">
              <w:t>82%</w:t>
            </w:r>
          </w:p>
        </w:tc>
        <w:tc>
          <w:tcPr>
            <w:tcW w:w="1134" w:type="dxa"/>
            <w:vAlign w:val="bottom"/>
          </w:tcPr>
          <w:p w:rsidR="005F3037" w:rsidRPr="00F90D20" w:rsidRDefault="005F3037" w:rsidP="002F27A9">
            <w:pPr>
              <w:pStyle w:val="Tablerow"/>
            </w:pPr>
            <w:r w:rsidRPr="00F90D20">
              <w:t>20.9</w:t>
            </w:r>
          </w:p>
        </w:tc>
      </w:tr>
      <w:tr w:rsidR="005F3037" w:rsidRPr="00F90D20" w:rsidTr="005A7653">
        <w:trPr>
          <w:trHeight w:val="161"/>
        </w:trPr>
        <w:tc>
          <w:tcPr>
            <w:tcW w:w="2127" w:type="dxa"/>
            <w:vAlign w:val="bottom"/>
          </w:tcPr>
          <w:p w:rsidR="005F3037" w:rsidRPr="00F90D20" w:rsidRDefault="005F3037" w:rsidP="002F27A9">
            <w:pPr>
              <w:pStyle w:val="Tablerow"/>
            </w:pPr>
            <w:r w:rsidRPr="00F90D20">
              <w:t>Outer Eastern Melbourne</w:t>
            </w:r>
          </w:p>
        </w:tc>
        <w:tc>
          <w:tcPr>
            <w:tcW w:w="1417" w:type="dxa"/>
            <w:vAlign w:val="bottom"/>
          </w:tcPr>
          <w:p w:rsidR="005F3037" w:rsidRPr="00F90D20" w:rsidRDefault="005F3037" w:rsidP="002F27A9">
            <w:pPr>
              <w:pStyle w:val="Tablerow"/>
            </w:pPr>
            <w:r w:rsidRPr="00F90D20">
              <w:t>337.9</w:t>
            </w:r>
          </w:p>
        </w:tc>
        <w:tc>
          <w:tcPr>
            <w:tcW w:w="1418" w:type="dxa"/>
            <w:vAlign w:val="bottom"/>
          </w:tcPr>
          <w:p w:rsidR="005F3037" w:rsidRPr="00F90D20" w:rsidRDefault="005F3037" w:rsidP="002F27A9">
            <w:pPr>
              <w:pStyle w:val="Tablerow"/>
            </w:pPr>
            <w:r w:rsidRPr="00F90D20">
              <w:t>4.9</w:t>
            </w:r>
          </w:p>
        </w:tc>
        <w:tc>
          <w:tcPr>
            <w:tcW w:w="1701" w:type="dxa"/>
            <w:vAlign w:val="bottom"/>
          </w:tcPr>
          <w:p w:rsidR="005F3037" w:rsidRPr="00F90D20" w:rsidRDefault="005F3037" w:rsidP="002F27A9">
            <w:pPr>
              <w:pStyle w:val="Tablerow"/>
            </w:pPr>
            <w:r w:rsidRPr="00F90D20">
              <w:t>83%</w:t>
            </w:r>
          </w:p>
        </w:tc>
        <w:tc>
          <w:tcPr>
            <w:tcW w:w="1134" w:type="dxa"/>
            <w:vAlign w:val="bottom"/>
          </w:tcPr>
          <w:p w:rsidR="005F3037" w:rsidRPr="00F90D20" w:rsidRDefault="005F3037" w:rsidP="002F27A9">
            <w:pPr>
              <w:pStyle w:val="Tablerow"/>
            </w:pPr>
            <w:r w:rsidRPr="00F90D20">
              <w:t>17.3</w:t>
            </w:r>
          </w:p>
        </w:tc>
      </w:tr>
      <w:tr w:rsidR="005F3037" w:rsidRPr="00F90D20" w:rsidTr="005A7653">
        <w:trPr>
          <w:trHeight w:val="161"/>
        </w:trPr>
        <w:tc>
          <w:tcPr>
            <w:tcW w:w="2127" w:type="dxa"/>
            <w:vAlign w:val="bottom"/>
          </w:tcPr>
          <w:p w:rsidR="005F3037" w:rsidRPr="00F90D20" w:rsidRDefault="005F3037" w:rsidP="002F27A9">
            <w:pPr>
              <w:pStyle w:val="Tablerow"/>
            </w:pPr>
            <w:r w:rsidRPr="00F90D20">
              <w:t>Outer Gippsland</w:t>
            </w:r>
          </w:p>
        </w:tc>
        <w:tc>
          <w:tcPr>
            <w:tcW w:w="1417" w:type="dxa"/>
            <w:vAlign w:val="bottom"/>
          </w:tcPr>
          <w:p w:rsidR="005F3037" w:rsidRPr="00F90D20" w:rsidRDefault="005F3037" w:rsidP="002F27A9">
            <w:pPr>
              <w:pStyle w:val="Tablerow"/>
            </w:pPr>
            <w:r w:rsidRPr="00F90D20">
              <w:t>73.2</w:t>
            </w:r>
          </w:p>
        </w:tc>
        <w:tc>
          <w:tcPr>
            <w:tcW w:w="1418" w:type="dxa"/>
            <w:vAlign w:val="bottom"/>
          </w:tcPr>
          <w:p w:rsidR="005F3037" w:rsidRPr="00F90D20" w:rsidRDefault="005F3037" w:rsidP="002F27A9">
            <w:pPr>
              <w:pStyle w:val="Tablerow"/>
            </w:pPr>
            <w:r w:rsidRPr="00F90D20">
              <w:t>1.2</w:t>
            </w:r>
          </w:p>
        </w:tc>
        <w:tc>
          <w:tcPr>
            <w:tcW w:w="1701" w:type="dxa"/>
            <w:vAlign w:val="bottom"/>
          </w:tcPr>
          <w:p w:rsidR="005F3037" w:rsidRPr="00F90D20" w:rsidRDefault="005F3037" w:rsidP="002F27A9">
            <w:pPr>
              <w:pStyle w:val="Tablerow"/>
            </w:pPr>
            <w:r w:rsidRPr="00F90D20">
              <w:t>82%</w:t>
            </w:r>
          </w:p>
        </w:tc>
        <w:tc>
          <w:tcPr>
            <w:tcW w:w="1134" w:type="dxa"/>
            <w:vAlign w:val="bottom"/>
          </w:tcPr>
          <w:p w:rsidR="005F3037" w:rsidRPr="00F90D20" w:rsidRDefault="005F3037" w:rsidP="002F27A9">
            <w:pPr>
              <w:pStyle w:val="Tablerow"/>
            </w:pPr>
            <w:r w:rsidRPr="00F90D20">
              <w:t>20.1</w:t>
            </w:r>
          </w:p>
        </w:tc>
      </w:tr>
      <w:tr w:rsidR="005F3037" w:rsidRPr="00F90D20" w:rsidTr="005A7653">
        <w:trPr>
          <w:trHeight w:val="161"/>
        </w:trPr>
        <w:tc>
          <w:tcPr>
            <w:tcW w:w="2127" w:type="dxa"/>
            <w:vAlign w:val="bottom"/>
          </w:tcPr>
          <w:p w:rsidR="005F3037" w:rsidRPr="00F90D20" w:rsidRDefault="005F3037" w:rsidP="002F27A9">
            <w:pPr>
              <w:pStyle w:val="Tablerow"/>
            </w:pPr>
            <w:r w:rsidRPr="00F90D20">
              <w:t>Ovens Murray</w:t>
            </w:r>
          </w:p>
        </w:tc>
        <w:tc>
          <w:tcPr>
            <w:tcW w:w="1417" w:type="dxa"/>
            <w:vAlign w:val="bottom"/>
          </w:tcPr>
          <w:p w:rsidR="005F3037" w:rsidRPr="00F90D20" w:rsidRDefault="005F3037" w:rsidP="002F27A9">
            <w:pPr>
              <w:pStyle w:val="Tablerow"/>
            </w:pPr>
            <w:r w:rsidRPr="00F90D20">
              <w:t>101.7</w:t>
            </w:r>
          </w:p>
        </w:tc>
        <w:tc>
          <w:tcPr>
            <w:tcW w:w="1418" w:type="dxa"/>
            <w:vAlign w:val="bottom"/>
          </w:tcPr>
          <w:p w:rsidR="005F3037" w:rsidRPr="00F90D20" w:rsidRDefault="005F3037" w:rsidP="002F27A9">
            <w:pPr>
              <w:pStyle w:val="Tablerow"/>
            </w:pPr>
            <w:r w:rsidRPr="00F90D20">
              <w:t>1.7</w:t>
            </w:r>
          </w:p>
        </w:tc>
        <w:tc>
          <w:tcPr>
            <w:tcW w:w="1701" w:type="dxa"/>
            <w:vAlign w:val="bottom"/>
          </w:tcPr>
          <w:p w:rsidR="005F3037" w:rsidRPr="00F90D20" w:rsidRDefault="005F3037" w:rsidP="002F27A9">
            <w:pPr>
              <w:pStyle w:val="Tablerow"/>
            </w:pPr>
            <w:r w:rsidRPr="00F90D20">
              <w:t>82%</w:t>
            </w:r>
          </w:p>
        </w:tc>
        <w:tc>
          <w:tcPr>
            <w:tcW w:w="1134" w:type="dxa"/>
            <w:vAlign w:val="bottom"/>
          </w:tcPr>
          <w:p w:rsidR="005F3037" w:rsidRPr="00F90D20" w:rsidRDefault="005F3037" w:rsidP="002F27A9">
            <w:pPr>
              <w:pStyle w:val="Tablerow"/>
            </w:pPr>
            <w:r w:rsidRPr="00F90D20">
              <w:t>20.7</w:t>
            </w:r>
          </w:p>
        </w:tc>
      </w:tr>
      <w:tr w:rsidR="005F3037" w:rsidRPr="00F90D20" w:rsidTr="005A7653">
        <w:trPr>
          <w:trHeight w:val="161"/>
        </w:trPr>
        <w:tc>
          <w:tcPr>
            <w:tcW w:w="2127" w:type="dxa"/>
            <w:vAlign w:val="bottom"/>
          </w:tcPr>
          <w:p w:rsidR="005F3037" w:rsidRPr="00F90D20" w:rsidRDefault="005F3037" w:rsidP="002F27A9">
            <w:pPr>
              <w:pStyle w:val="Tablerow"/>
            </w:pPr>
            <w:r w:rsidRPr="00F90D20">
              <w:t>Southern Melbourne</w:t>
            </w:r>
          </w:p>
        </w:tc>
        <w:tc>
          <w:tcPr>
            <w:tcW w:w="1417" w:type="dxa"/>
            <w:vAlign w:val="bottom"/>
          </w:tcPr>
          <w:p w:rsidR="005F3037" w:rsidRPr="00F90D20" w:rsidRDefault="005F3037" w:rsidP="002F27A9">
            <w:pPr>
              <w:pStyle w:val="Tablerow"/>
            </w:pPr>
            <w:r w:rsidRPr="00F90D20">
              <w:t>428.5</w:t>
            </w:r>
          </w:p>
        </w:tc>
        <w:tc>
          <w:tcPr>
            <w:tcW w:w="1418" w:type="dxa"/>
            <w:vAlign w:val="bottom"/>
          </w:tcPr>
          <w:p w:rsidR="005F3037" w:rsidRPr="00F90D20" w:rsidRDefault="005F3037" w:rsidP="002F27A9">
            <w:pPr>
              <w:pStyle w:val="Tablerow"/>
            </w:pPr>
            <w:r w:rsidRPr="00F90D20">
              <w:t>6.2</w:t>
            </w:r>
          </w:p>
        </w:tc>
        <w:tc>
          <w:tcPr>
            <w:tcW w:w="1701" w:type="dxa"/>
            <w:vAlign w:val="bottom"/>
          </w:tcPr>
          <w:p w:rsidR="005F3037" w:rsidRPr="00F90D20" w:rsidRDefault="005F3037" w:rsidP="002F27A9">
            <w:pPr>
              <w:pStyle w:val="Tablerow"/>
            </w:pPr>
            <w:r w:rsidRPr="00F90D20">
              <w:t>75%</w:t>
            </w:r>
          </w:p>
        </w:tc>
        <w:tc>
          <w:tcPr>
            <w:tcW w:w="1134" w:type="dxa"/>
            <w:vAlign w:val="bottom"/>
          </w:tcPr>
          <w:p w:rsidR="005F3037" w:rsidRPr="00F90D20" w:rsidRDefault="005F3037" w:rsidP="002F27A9">
            <w:pPr>
              <w:pStyle w:val="Tablerow"/>
            </w:pPr>
            <w:r w:rsidRPr="00F90D20">
              <w:t>19.4</w:t>
            </w:r>
          </w:p>
        </w:tc>
      </w:tr>
      <w:tr w:rsidR="005F3037" w:rsidRPr="00F90D20" w:rsidTr="005A7653">
        <w:trPr>
          <w:trHeight w:val="161"/>
        </w:trPr>
        <w:tc>
          <w:tcPr>
            <w:tcW w:w="2127" w:type="dxa"/>
            <w:vAlign w:val="bottom"/>
          </w:tcPr>
          <w:p w:rsidR="005F3037" w:rsidRPr="00F90D20" w:rsidRDefault="005F3037" w:rsidP="002F27A9">
            <w:pPr>
              <w:pStyle w:val="Tablerow"/>
            </w:pPr>
            <w:r w:rsidRPr="00F90D20">
              <w:t>Western District</w:t>
            </w:r>
          </w:p>
        </w:tc>
        <w:tc>
          <w:tcPr>
            <w:tcW w:w="1417" w:type="dxa"/>
            <w:vAlign w:val="bottom"/>
          </w:tcPr>
          <w:p w:rsidR="005F3037" w:rsidRPr="00F90D20" w:rsidRDefault="005F3037" w:rsidP="002F27A9">
            <w:pPr>
              <w:pStyle w:val="Tablerow"/>
            </w:pPr>
            <w:r w:rsidRPr="00F90D20">
              <w:t>122.7</w:t>
            </w:r>
          </w:p>
        </w:tc>
        <w:tc>
          <w:tcPr>
            <w:tcW w:w="1418" w:type="dxa"/>
            <w:vAlign w:val="bottom"/>
          </w:tcPr>
          <w:p w:rsidR="005F3037" w:rsidRPr="00F90D20" w:rsidRDefault="005F3037" w:rsidP="002F27A9">
            <w:pPr>
              <w:pStyle w:val="Tablerow"/>
            </w:pPr>
            <w:r w:rsidRPr="00F90D20">
              <w:t>1.8</w:t>
            </w:r>
          </w:p>
        </w:tc>
        <w:tc>
          <w:tcPr>
            <w:tcW w:w="1701" w:type="dxa"/>
            <w:vAlign w:val="bottom"/>
          </w:tcPr>
          <w:p w:rsidR="005F3037" w:rsidRPr="00F90D20" w:rsidRDefault="005F3037" w:rsidP="002F27A9">
            <w:pPr>
              <w:pStyle w:val="Tablerow"/>
            </w:pPr>
            <w:r w:rsidRPr="00F90D20">
              <w:t>79%</w:t>
            </w:r>
          </w:p>
        </w:tc>
        <w:tc>
          <w:tcPr>
            <w:tcW w:w="1134" w:type="dxa"/>
            <w:vAlign w:val="bottom"/>
          </w:tcPr>
          <w:p w:rsidR="005F3037" w:rsidRPr="00F90D20" w:rsidRDefault="005F3037" w:rsidP="002F27A9">
            <w:pPr>
              <w:pStyle w:val="Tablerow"/>
            </w:pPr>
            <w:r w:rsidRPr="00F90D20">
              <w:t>18.9</w:t>
            </w:r>
          </w:p>
        </w:tc>
      </w:tr>
      <w:tr w:rsidR="005F3037" w:rsidRPr="00F90D20" w:rsidTr="005A7653">
        <w:trPr>
          <w:trHeight w:val="161"/>
        </w:trPr>
        <w:tc>
          <w:tcPr>
            <w:tcW w:w="2127" w:type="dxa"/>
            <w:vAlign w:val="bottom"/>
          </w:tcPr>
          <w:p w:rsidR="005F3037" w:rsidRPr="00F90D20" w:rsidRDefault="005F3037" w:rsidP="002F27A9">
            <w:pPr>
              <w:pStyle w:val="Tablerow"/>
            </w:pPr>
            <w:r w:rsidRPr="00F90D20">
              <w:t>Western Melbourne</w:t>
            </w:r>
          </w:p>
        </w:tc>
        <w:tc>
          <w:tcPr>
            <w:tcW w:w="1417" w:type="dxa"/>
            <w:vAlign w:val="bottom"/>
          </w:tcPr>
          <w:p w:rsidR="005F3037" w:rsidRPr="00F90D20" w:rsidRDefault="005F3037" w:rsidP="002F27A9">
            <w:pPr>
              <w:pStyle w:val="Tablerow"/>
            </w:pPr>
            <w:r w:rsidRPr="00F90D20">
              <w:t>529.2</w:t>
            </w:r>
          </w:p>
        </w:tc>
        <w:tc>
          <w:tcPr>
            <w:tcW w:w="1418" w:type="dxa"/>
            <w:vAlign w:val="bottom"/>
          </w:tcPr>
          <w:p w:rsidR="005F3037" w:rsidRPr="00F90D20" w:rsidRDefault="005F3037" w:rsidP="002F27A9">
            <w:pPr>
              <w:pStyle w:val="Tablerow"/>
            </w:pPr>
            <w:r w:rsidRPr="00F90D20">
              <w:t>9.2</w:t>
            </w:r>
          </w:p>
        </w:tc>
        <w:tc>
          <w:tcPr>
            <w:tcW w:w="1701" w:type="dxa"/>
            <w:vAlign w:val="bottom"/>
          </w:tcPr>
          <w:p w:rsidR="005F3037" w:rsidRPr="00F90D20" w:rsidRDefault="005F3037" w:rsidP="002F27A9">
            <w:pPr>
              <w:pStyle w:val="Tablerow"/>
            </w:pPr>
            <w:r w:rsidRPr="00F90D20">
              <w:t>82%</w:t>
            </w:r>
          </w:p>
        </w:tc>
        <w:tc>
          <w:tcPr>
            <w:tcW w:w="1134" w:type="dxa"/>
            <w:vAlign w:val="bottom"/>
          </w:tcPr>
          <w:p w:rsidR="005F3037" w:rsidRPr="00F90D20" w:rsidRDefault="005F3037" w:rsidP="002F27A9">
            <w:pPr>
              <w:pStyle w:val="Tablerow"/>
            </w:pPr>
            <w:r w:rsidRPr="00F90D20">
              <w:t>21.3</w:t>
            </w:r>
          </w:p>
        </w:tc>
      </w:tr>
    </w:tbl>
    <w:p w:rsidR="00797E6E" w:rsidRDefault="00797E6E" w:rsidP="002F27A9">
      <w:pPr>
        <w:rPr>
          <w:rFonts w:eastAsia="Lato Light"/>
          <w:color w:val="262626" w:themeColor="text1" w:themeTint="D9"/>
          <w:sz w:val="36"/>
          <w:szCs w:val="36"/>
        </w:rPr>
      </w:pPr>
      <w:r>
        <w:br w:type="page"/>
      </w:r>
    </w:p>
    <w:p w:rsidR="009F5BA8" w:rsidRPr="00500F57" w:rsidRDefault="009F5BA8" w:rsidP="002F27A9">
      <w:pPr>
        <w:pStyle w:val="Heading2"/>
      </w:pPr>
      <w:r w:rsidRPr="00500F57">
        <w:lastRenderedPageBreak/>
        <w:t>Education and training</w:t>
      </w:r>
    </w:p>
    <w:p w:rsidR="009F5BA8" w:rsidRPr="00500F57" w:rsidRDefault="00FA2F2E" w:rsidP="002F27A9">
      <w:r>
        <w:t xml:space="preserve">The </w:t>
      </w:r>
      <w:r w:rsidRPr="00500F57">
        <w:t>personal training, education and professional fitness sector</w:t>
      </w:r>
      <w:r>
        <w:t>s are a</w:t>
      </w:r>
      <w:r w:rsidR="00174E1B" w:rsidRPr="00500F57">
        <w:t xml:space="preserve"> significant</w:t>
      </w:r>
      <w:r w:rsidR="00ED2B7A" w:rsidRPr="00500F57">
        <w:t xml:space="preserve"> and</w:t>
      </w:r>
      <w:r w:rsidR="00174E1B" w:rsidRPr="00500F57">
        <w:t xml:space="preserve"> growing element of active recreation.</w:t>
      </w:r>
      <w:r w:rsidR="00D55005" w:rsidRPr="00500F57">
        <w:t xml:space="preserve"> </w:t>
      </w:r>
      <w:r w:rsidR="00174E1B" w:rsidRPr="00500F57">
        <w:t>Data for the professional fitness sector is being developed</w:t>
      </w:r>
      <w:r>
        <w:t>, but</w:t>
      </w:r>
      <w:r w:rsidR="00ED2B7A" w:rsidRPr="00500F57">
        <w:t xml:space="preserve"> it is difficult to estimate the size of this industry using available data. I</w:t>
      </w:r>
      <w:r w:rsidR="00212C48" w:rsidRPr="00500F57">
        <w:t>ndustry analysis</w:t>
      </w:r>
      <w:r w:rsidR="007719BC">
        <w:t xml:space="preserve"> (</w:t>
      </w:r>
      <w:r w:rsidR="00A243A0">
        <w:t>BRA</w:t>
      </w:r>
      <w:r w:rsidR="007719BC">
        <w:t>, 2013)</w:t>
      </w:r>
      <w:r w:rsidR="00212C48" w:rsidRPr="00500F57">
        <w:t xml:space="preserve"> suggest</w:t>
      </w:r>
      <w:r>
        <w:t>s</w:t>
      </w:r>
      <w:r w:rsidR="00174E1B" w:rsidRPr="00500F57">
        <w:t xml:space="preserve"> that </w:t>
      </w:r>
      <w:r w:rsidR="00ED2B7A" w:rsidRPr="00500F57">
        <w:t>across Australia</w:t>
      </w:r>
      <w:r w:rsidR="00174E1B" w:rsidRPr="00500F57">
        <w:t xml:space="preserve"> consumer expenditure</w:t>
      </w:r>
      <w:r w:rsidR="00ED2B7A" w:rsidRPr="00500F57">
        <w:t xml:space="preserve"> on active recreation</w:t>
      </w:r>
      <w:r w:rsidR="00174E1B" w:rsidRPr="00500F57">
        <w:t xml:space="preserve"> is </w:t>
      </w:r>
      <w:r w:rsidR="00A06273">
        <w:t>in</w:t>
      </w:r>
      <w:r w:rsidR="00A06273" w:rsidRPr="00500F57">
        <w:t xml:space="preserve"> </w:t>
      </w:r>
      <w:r w:rsidR="00174E1B" w:rsidRPr="00500F57">
        <w:t>the order of $1.3</w:t>
      </w:r>
      <w:r w:rsidR="00D55005" w:rsidRPr="00500F57">
        <w:t>1 b</w:t>
      </w:r>
      <w:r w:rsidR="00174E1B" w:rsidRPr="00500F57">
        <w:t>illion.</w:t>
      </w:r>
      <w:r w:rsidR="00D55005" w:rsidRPr="00500F57">
        <w:t xml:space="preserve"> </w:t>
      </w:r>
      <w:r w:rsidR="00174E1B" w:rsidRPr="00500F57">
        <w:t>On a per capita basis</w:t>
      </w:r>
      <w:r w:rsidR="00A06273">
        <w:t>,</w:t>
      </w:r>
      <w:r w:rsidR="00174E1B" w:rsidRPr="00500F57">
        <w:t xml:space="preserve"> this would suggest expenditure of </w:t>
      </w:r>
      <w:r w:rsidR="00A06273">
        <w:t>around</w:t>
      </w:r>
      <w:r w:rsidR="00174E1B" w:rsidRPr="00500F57">
        <w:t xml:space="preserve"> $33</w:t>
      </w:r>
      <w:r w:rsidR="00D55005" w:rsidRPr="00500F57">
        <w:t>0 m</w:t>
      </w:r>
      <w:r w:rsidR="00174E1B" w:rsidRPr="00500F57">
        <w:t>illion</w:t>
      </w:r>
      <w:r w:rsidR="00ED2B7A" w:rsidRPr="00500F57">
        <w:t xml:space="preserve"> </w:t>
      </w:r>
      <w:r w:rsidR="00A06273">
        <w:t>in</w:t>
      </w:r>
      <w:r w:rsidR="00A06273" w:rsidRPr="00500F57">
        <w:t xml:space="preserve"> </w:t>
      </w:r>
      <w:r w:rsidR="00ED2B7A" w:rsidRPr="00500F57">
        <w:t>Victoria</w:t>
      </w:r>
      <w:r w:rsidR="00174E1B" w:rsidRPr="00500F57">
        <w:t>.</w:t>
      </w:r>
    </w:p>
    <w:p w:rsidR="009F5BA8" w:rsidRPr="00500F57" w:rsidRDefault="00174E1B" w:rsidP="002F27A9">
      <w:r w:rsidRPr="00500F57">
        <w:t xml:space="preserve">For Victoria, </w:t>
      </w:r>
      <w:r w:rsidR="00ED2B7A" w:rsidRPr="00500F57">
        <w:t xml:space="preserve">ABS </w:t>
      </w:r>
      <w:r w:rsidR="00212C48" w:rsidRPr="00500F57">
        <w:t>household expenditure data</w:t>
      </w:r>
      <w:r w:rsidR="00ED2B7A" w:rsidRPr="00500F57">
        <w:t xml:space="preserve"> </w:t>
      </w:r>
      <w:r w:rsidR="00212C48" w:rsidRPr="00500F57">
        <w:t>indicate</w:t>
      </w:r>
      <w:r w:rsidR="00A06273">
        <w:t>s</w:t>
      </w:r>
      <w:r w:rsidR="00212C48" w:rsidRPr="00500F57">
        <w:t xml:space="preserve"> that </w:t>
      </w:r>
      <w:r w:rsidRPr="00500F57">
        <w:t>health and fitness charges</w:t>
      </w:r>
      <w:r w:rsidR="00212C48" w:rsidRPr="00500F57">
        <w:t xml:space="preserve"> and lessons </w:t>
      </w:r>
      <w:r w:rsidR="00A06273">
        <w:t>constitute</w:t>
      </w:r>
      <w:r w:rsidR="00A06273" w:rsidRPr="00500F57">
        <w:t xml:space="preserve"> </w:t>
      </w:r>
      <w:r w:rsidR="00212C48" w:rsidRPr="00500F57">
        <w:t>some $60</w:t>
      </w:r>
      <w:r w:rsidR="00D55005" w:rsidRPr="00500F57">
        <w:t>0 m</w:t>
      </w:r>
      <w:r w:rsidR="00212C48" w:rsidRPr="00500F57">
        <w:t>illion of expenditure</w:t>
      </w:r>
      <w:r w:rsidR="00A06273">
        <w:t>, of which</w:t>
      </w:r>
      <w:r w:rsidR="00212C48" w:rsidRPr="00500F57">
        <w:t xml:space="preserve"> at least $25</w:t>
      </w:r>
      <w:r w:rsidR="00D55005" w:rsidRPr="00500F57">
        <w:t>0 m</w:t>
      </w:r>
      <w:r w:rsidR="00212C48" w:rsidRPr="00500F57">
        <w:t>illion</w:t>
      </w:r>
      <w:r w:rsidR="00ED2B7A" w:rsidRPr="00500F57">
        <w:t xml:space="preserve"> </w:t>
      </w:r>
      <w:r w:rsidR="00A06273">
        <w:t>is</w:t>
      </w:r>
      <w:r w:rsidR="00154F7C">
        <w:t xml:space="preserve"> </w:t>
      </w:r>
      <w:r w:rsidR="00ED2B7A" w:rsidRPr="00500F57">
        <w:t>potentially</w:t>
      </w:r>
      <w:r w:rsidR="00212C48" w:rsidRPr="00500F57">
        <w:t xml:space="preserve"> attributable to active recreation.</w:t>
      </w:r>
    </w:p>
    <w:p w:rsidR="000E1092" w:rsidRPr="00500F57" w:rsidRDefault="000E1092" w:rsidP="002F27A9">
      <w:pPr>
        <w:pStyle w:val="Heading1"/>
      </w:pPr>
      <w:bookmarkStart w:id="71" w:name="_Toc431564046"/>
      <w:bookmarkStart w:id="72" w:name="_Toc477964694"/>
      <w:bookmarkStart w:id="73" w:name="_Toc516050182"/>
      <w:r w:rsidRPr="00500F57">
        <w:lastRenderedPageBreak/>
        <w:t>Welfare contribution</w:t>
      </w:r>
      <w:bookmarkEnd w:id="71"/>
      <w:bookmarkEnd w:id="72"/>
      <w:bookmarkEnd w:id="73"/>
    </w:p>
    <w:p w:rsidR="00D55005" w:rsidRPr="009F0FF4" w:rsidRDefault="000E1092" w:rsidP="002F27A9">
      <w:pPr>
        <w:rPr>
          <w:rStyle w:val="Emphasis"/>
        </w:rPr>
      </w:pPr>
      <w:r w:rsidRPr="009F0FF4">
        <w:rPr>
          <w:rStyle w:val="Emphasis"/>
        </w:rPr>
        <w:t xml:space="preserve">We estimate that </w:t>
      </w:r>
      <w:r w:rsidR="00D33374" w:rsidRPr="009F0FF4">
        <w:rPr>
          <w:rStyle w:val="Emphasis"/>
        </w:rPr>
        <w:t>eliminating physical inactivity</w:t>
      </w:r>
      <w:r w:rsidR="009910DD" w:rsidRPr="009F0FF4">
        <w:rPr>
          <w:rStyle w:val="Emphasis"/>
        </w:rPr>
        <w:t xml:space="preserve"> in Victoria</w:t>
      </w:r>
      <w:r w:rsidR="00D33374" w:rsidRPr="009F0FF4">
        <w:rPr>
          <w:rStyle w:val="Emphasis"/>
        </w:rPr>
        <w:t xml:space="preserve">’s </w:t>
      </w:r>
      <w:r w:rsidR="002973D4" w:rsidRPr="009F0FF4">
        <w:rPr>
          <w:rStyle w:val="Emphasis"/>
        </w:rPr>
        <w:t xml:space="preserve">2016 </w:t>
      </w:r>
      <w:r w:rsidR="00D33374" w:rsidRPr="009F0FF4">
        <w:rPr>
          <w:rStyle w:val="Emphasis"/>
        </w:rPr>
        <w:t>15+</w:t>
      </w:r>
      <w:r w:rsidR="002973D4" w:rsidRPr="009F0FF4">
        <w:rPr>
          <w:rStyle w:val="Emphasis"/>
        </w:rPr>
        <w:t xml:space="preserve"> year</w:t>
      </w:r>
      <w:r w:rsidR="00D33374" w:rsidRPr="009F0FF4">
        <w:rPr>
          <w:rStyle w:val="Emphasis"/>
        </w:rPr>
        <w:t xml:space="preserve"> population would deliver</w:t>
      </w:r>
      <w:r w:rsidR="009910DD" w:rsidRPr="009F0FF4">
        <w:rPr>
          <w:rStyle w:val="Emphasis"/>
        </w:rPr>
        <w:t xml:space="preserve"> health</w:t>
      </w:r>
      <w:r w:rsidR="00D33374" w:rsidRPr="009F0FF4">
        <w:rPr>
          <w:rStyle w:val="Emphasis"/>
        </w:rPr>
        <w:t>care system and production</w:t>
      </w:r>
      <w:r w:rsidRPr="009F0FF4">
        <w:rPr>
          <w:rStyle w:val="Emphasis"/>
        </w:rPr>
        <w:t xml:space="preserve"> </w:t>
      </w:r>
      <w:r w:rsidR="009910DD" w:rsidRPr="009F0FF4">
        <w:rPr>
          <w:rStyle w:val="Emphasis"/>
        </w:rPr>
        <w:t>benefits</w:t>
      </w:r>
      <w:r w:rsidRPr="009F0FF4">
        <w:rPr>
          <w:rStyle w:val="Emphasis"/>
        </w:rPr>
        <w:t xml:space="preserve"> to V</w:t>
      </w:r>
      <w:r w:rsidR="00D33374" w:rsidRPr="009F0FF4">
        <w:rPr>
          <w:rStyle w:val="Emphasis"/>
        </w:rPr>
        <w:t xml:space="preserve">ictoria worth </w:t>
      </w:r>
      <w:r w:rsidR="00A06273" w:rsidRPr="009F0FF4">
        <w:rPr>
          <w:rStyle w:val="Emphasis"/>
        </w:rPr>
        <w:t>between</w:t>
      </w:r>
      <w:r w:rsidR="00D33374" w:rsidRPr="009F0FF4">
        <w:rPr>
          <w:rStyle w:val="Emphasis"/>
        </w:rPr>
        <w:t xml:space="preserve"> </w:t>
      </w:r>
      <w:r w:rsidR="00A16E6D" w:rsidRPr="009F0FF4">
        <w:rPr>
          <w:rStyle w:val="Emphasis"/>
        </w:rPr>
        <w:t>$</w:t>
      </w:r>
      <w:r w:rsidR="00D33374" w:rsidRPr="009F0FF4">
        <w:rPr>
          <w:rStyle w:val="Emphasis"/>
        </w:rPr>
        <w:t>1.</w:t>
      </w:r>
      <w:r w:rsidR="00D55005" w:rsidRPr="009F0FF4">
        <w:rPr>
          <w:rStyle w:val="Emphasis"/>
        </w:rPr>
        <w:t>2 b</w:t>
      </w:r>
      <w:r w:rsidR="00D33374" w:rsidRPr="009F0FF4">
        <w:rPr>
          <w:rStyle w:val="Emphasis"/>
        </w:rPr>
        <w:t>illion and $3.</w:t>
      </w:r>
      <w:r w:rsidR="00A14B51" w:rsidRPr="009F0FF4">
        <w:rPr>
          <w:rStyle w:val="Emphasis"/>
        </w:rPr>
        <w:t>3</w:t>
      </w:r>
      <w:r w:rsidR="00D55005" w:rsidRPr="009F0FF4">
        <w:rPr>
          <w:rStyle w:val="Emphasis"/>
        </w:rPr>
        <w:t>5 b</w:t>
      </w:r>
      <w:r w:rsidR="00F100E3" w:rsidRPr="009F0FF4">
        <w:rPr>
          <w:rStyle w:val="Emphasis"/>
        </w:rPr>
        <w:t>illion over the population</w:t>
      </w:r>
      <w:r w:rsidR="00A06273" w:rsidRPr="009F0FF4">
        <w:rPr>
          <w:rStyle w:val="Emphasis"/>
        </w:rPr>
        <w:t>’</w:t>
      </w:r>
      <w:r w:rsidR="00F100E3" w:rsidRPr="009F0FF4">
        <w:rPr>
          <w:rStyle w:val="Emphasis"/>
        </w:rPr>
        <w:t>s</w:t>
      </w:r>
      <w:r w:rsidR="002973D4" w:rsidRPr="009F0FF4">
        <w:rPr>
          <w:rStyle w:val="Emphasis"/>
        </w:rPr>
        <w:t xml:space="preserve"> lifetime</w:t>
      </w:r>
      <w:r w:rsidR="00D33374" w:rsidRPr="009F0FF4">
        <w:rPr>
          <w:rStyle w:val="Emphasis"/>
        </w:rPr>
        <w:t>.</w:t>
      </w:r>
    </w:p>
    <w:p w:rsidR="000E1092" w:rsidRPr="00500F57" w:rsidRDefault="001602A3" w:rsidP="002F27A9">
      <w:r w:rsidRPr="00500F57">
        <w:t>Active recreation</w:t>
      </w:r>
      <w:r w:rsidR="000E1092" w:rsidRPr="00500F57">
        <w:t xml:space="preserve"> delivers health and wellbeing benefits</w:t>
      </w:r>
      <w:r w:rsidR="00A06273">
        <w:t>. T</w:t>
      </w:r>
      <w:r w:rsidR="000E1092" w:rsidRPr="00500F57">
        <w:t>his conclusion is clearly supported by a large and robust international evidence base of outcome-based</w:t>
      </w:r>
      <w:r w:rsidR="00A06273">
        <w:t xml:space="preserve"> studies</w:t>
      </w:r>
      <w:r w:rsidR="007D2E5A" w:rsidRPr="00500F57">
        <w:t>.</w:t>
      </w:r>
      <w:r w:rsidR="00A06273">
        <w:rPr>
          <w:rStyle w:val="FootnoteReference"/>
        </w:rPr>
        <w:footnoteReference w:id="7"/>
      </w:r>
    </w:p>
    <w:p w:rsidR="00D55005" w:rsidRPr="00500F57" w:rsidRDefault="0023082F" w:rsidP="002F27A9">
      <w:r w:rsidRPr="00500F57">
        <w:t>Collectively</w:t>
      </w:r>
      <w:r w:rsidR="000E1092" w:rsidRPr="00500F57">
        <w:t xml:space="preserve">, the studies show </w:t>
      </w:r>
      <w:r w:rsidR="00A06273">
        <w:t xml:space="preserve">that </w:t>
      </w:r>
      <w:r w:rsidR="000E1092" w:rsidRPr="00500F57">
        <w:t>physical activity</w:t>
      </w:r>
      <w:r w:rsidR="007D2E5A" w:rsidRPr="00500F57">
        <w:t xml:space="preserve"> (including active recreation)</w:t>
      </w:r>
      <w:r w:rsidR="000E1092" w:rsidRPr="00500F57">
        <w:t xml:space="preserve"> </w:t>
      </w:r>
      <w:r w:rsidR="00A06273">
        <w:t>is</w:t>
      </w:r>
      <w:r w:rsidR="00A06273" w:rsidRPr="00500F57">
        <w:t xml:space="preserve"> </w:t>
      </w:r>
      <w:r w:rsidR="000E1092" w:rsidRPr="00500F57">
        <w:t xml:space="preserve">directly associated with improved cardiovascular health, </w:t>
      </w:r>
      <w:r w:rsidR="00A06273">
        <w:t xml:space="preserve">less </w:t>
      </w:r>
      <w:r w:rsidRPr="00500F57">
        <w:t>obesity</w:t>
      </w:r>
      <w:r w:rsidR="000E1092" w:rsidRPr="00500F57">
        <w:t xml:space="preserve">, </w:t>
      </w:r>
      <w:r w:rsidR="00A06273">
        <w:t xml:space="preserve">lower </w:t>
      </w:r>
      <w:r w:rsidR="000E1092" w:rsidRPr="00500F57">
        <w:t xml:space="preserve">blood pressure, and </w:t>
      </w:r>
      <w:r w:rsidR="00A06273">
        <w:t xml:space="preserve">less </w:t>
      </w:r>
      <w:r w:rsidR="000E1092" w:rsidRPr="00500F57">
        <w:t>stress</w:t>
      </w:r>
      <w:r w:rsidR="00A06273">
        <w:t>-</w:t>
      </w:r>
      <w:r w:rsidR="000E1092" w:rsidRPr="00500F57">
        <w:t xml:space="preserve">related illness and mental </w:t>
      </w:r>
      <w:r w:rsidR="00A06273">
        <w:t>ill-</w:t>
      </w:r>
      <w:r w:rsidR="000E1092" w:rsidRPr="00500F57">
        <w:t xml:space="preserve">health. </w:t>
      </w:r>
      <w:r w:rsidR="00A06273">
        <w:t>F</w:t>
      </w:r>
      <w:r w:rsidR="001602A3" w:rsidRPr="00500F57">
        <w:t xml:space="preserve">or outdoor </w:t>
      </w:r>
      <w:r w:rsidR="007D2E5A" w:rsidRPr="00500F57">
        <w:t>active recreation</w:t>
      </w:r>
      <w:r w:rsidR="001602A3" w:rsidRPr="00500F57">
        <w:t xml:space="preserve">, the </w:t>
      </w:r>
      <w:r w:rsidR="000E1092" w:rsidRPr="00500F57">
        <w:t>health benefits of nature</w:t>
      </w:r>
      <w:r w:rsidR="00A06273">
        <w:t>-</w:t>
      </w:r>
      <w:r w:rsidR="000E1092" w:rsidRPr="00500F57">
        <w:t>based activity reflect the type, duration, intensity and frequency of activity, as well as the person doing the outdoor activity.</w:t>
      </w:r>
    </w:p>
    <w:p w:rsidR="00F100E3" w:rsidRPr="00500F57" w:rsidRDefault="00F100E3" w:rsidP="002F27A9">
      <w:r w:rsidRPr="00500F57">
        <w:t>As part of our economic evaluation of active recreation</w:t>
      </w:r>
      <w:r w:rsidR="007D2E5A" w:rsidRPr="00500F57">
        <w:t xml:space="preserve"> </w:t>
      </w:r>
      <w:r w:rsidRPr="00500F57">
        <w:t>in Victoria</w:t>
      </w:r>
      <w:r w:rsidR="00A06273">
        <w:t>,</w:t>
      </w:r>
      <w:r w:rsidRPr="00500F57">
        <w:t xml:space="preserve"> we engaged</w:t>
      </w:r>
      <w:r w:rsidR="007D2E5A" w:rsidRPr="00500F57">
        <w:t xml:space="preserve"> Deakin Health Economics to </w:t>
      </w:r>
      <w:r w:rsidR="00A06273">
        <w:t>evaluate</w:t>
      </w:r>
      <w:r w:rsidR="007D2E5A" w:rsidRPr="00500F57">
        <w:t xml:space="preserve"> the health status</w:t>
      </w:r>
      <w:r w:rsidR="00A06273">
        <w:t xml:space="preserve"> and the</w:t>
      </w:r>
      <w:r w:rsidR="007D2E5A" w:rsidRPr="00500F57">
        <w:t xml:space="preserve"> economic and financial burden associated with physical </w:t>
      </w:r>
      <w:r w:rsidR="00A14B51" w:rsidRPr="00500F57">
        <w:t>in</w:t>
      </w:r>
      <w:r w:rsidR="007D2E5A" w:rsidRPr="00500F57">
        <w:t xml:space="preserve">activity in the 2016 Victorian adult population. </w:t>
      </w:r>
      <w:r w:rsidR="00A14B51" w:rsidRPr="00500F57">
        <w:rPr>
          <w:rFonts w:cs="Calibri"/>
          <w:iCs/>
        </w:rPr>
        <w:t xml:space="preserve">Here, physical inactivity is defined as a lack of physical activity, based on </w:t>
      </w:r>
      <w:r w:rsidR="00A14B51" w:rsidRPr="000F0AFD">
        <w:rPr>
          <w:rFonts w:cs="Calibri"/>
          <w:i/>
          <w:iCs/>
        </w:rPr>
        <w:t xml:space="preserve">Australia’s </w:t>
      </w:r>
      <w:r w:rsidR="00A06273" w:rsidRPr="000F0AFD">
        <w:rPr>
          <w:rFonts w:cs="Calibri"/>
          <w:i/>
          <w:iCs/>
        </w:rPr>
        <w:t>physical activity and sedentary behaviour guidelines</w:t>
      </w:r>
      <w:r w:rsidR="00DC426F">
        <w:t xml:space="preserve"> (</w:t>
      </w:r>
      <w:proofErr w:type="spellStart"/>
      <w:r w:rsidR="00DC426F">
        <w:t>DoH</w:t>
      </w:r>
      <w:proofErr w:type="spellEnd"/>
      <w:r w:rsidR="00DC426F">
        <w:t>, 2014)</w:t>
      </w:r>
      <w:r w:rsidR="00A14B51" w:rsidRPr="00500F57">
        <w:rPr>
          <w:rFonts w:cs="Calibri"/>
          <w:iCs/>
        </w:rPr>
        <w:t>.</w:t>
      </w:r>
      <w:r w:rsidR="00D55005" w:rsidRPr="00500F57">
        <w:rPr>
          <w:rFonts w:cs="Calibri"/>
          <w:iCs/>
        </w:rPr>
        <w:t xml:space="preserve"> </w:t>
      </w:r>
      <w:r w:rsidR="00A14B51" w:rsidRPr="00500F57">
        <w:rPr>
          <w:rFonts w:cs="Calibri"/>
          <w:iCs/>
        </w:rPr>
        <w:t xml:space="preserve">We use the terms </w:t>
      </w:r>
      <w:r w:rsidR="0063281C">
        <w:rPr>
          <w:rFonts w:cs="Calibri"/>
          <w:iCs/>
        </w:rPr>
        <w:t>‘</w:t>
      </w:r>
      <w:r w:rsidR="00A14B51" w:rsidRPr="00500F57">
        <w:rPr>
          <w:rFonts w:cs="Calibri"/>
          <w:iCs/>
        </w:rPr>
        <w:t>insufficient physical activity</w:t>
      </w:r>
      <w:r w:rsidR="0063281C">
        <w:rPr>
          <w:rFonts w:cs="Calibri"/>
          <w:iCs/>
        </w:rPr>
        <w:t>’</w:t>
      </w:r>
      <w:r w:rsidR="00A14B51" w:rsidRPr="00500F57">
        <w:rPr>
          <w:rFonts w:cs="Calibri"/>
          <w:iCs/>
        </w:rPr>
        <w:t xml:space="preserve"> and </w:t>
      </w:r>
      <w:r w:rsidR="0063281C">
        <w:rPr>
          <w:rFonts w:cs="Calibri"/>
          <w:iCs/>
        </w:rPr>
        <w:t>‘</w:t>
      </w:r>
      <w:r w:rsidR="00A14B51" w:rsidRPr="00500F57">
        <w:rPr>
          <w:rFonts w:cs="Calibri"/>
          <w:iCs/>
        </w:rPr>
        <w:t>physical inactivity</w:t>
      </w:r>
      <w:r w:rsidR="0063281C">
        <w:rPr>
          <w:rFonts w:cs="Calibri"/>
          <w:iCs/>
        </w:rPr>
        <w:t>’</w:t>
      </w:r>
      <w:r w:rsidR="00A14B51" w:rsidRPr="00500F57">
        <w:rPr>
          <w:rFonts w:cs="Calibri"/>
          <w:iCs/>
        </w:rPr>
        <w:t xml:space="preserve"> interchangeably in this report.</w:t>
      </w:r>
    </w:p>
    <w:p w:rsidR="007D2E5A" w:rsidRPr="00500F57" w:rsidRDefault="007D2E5A" w:rsidP="002F27A9">
      <w:r w:rsidRPr="00500F57">
        <w:t xml:space="preserve">Assuming that there are effective interventions that can shift the current </w:t>
      </w:r>
      <w:r w:rsidR="0063281C">
        <w:t xml:space="preserve">insufficiently active </w:t>
      </w:r>
      <w:r w:rsidR="00F100E3" w:rsidRPr="00500F57">
        <w:t xml:space="preserve">Victorian </w:t>
      </w:r>
      <w:r w:rsidRPr="00500F57">
        <w:t>adult population to meet physical activity requirements, Deakin Health Economics estimate</w:t>
      </w:r>
      <w:r w:rsidR="0063281C">
        <w:t>d</w:t>
      </w:r>
      <w:r w:rsidRPr="00500F57">
        <w:t xml:space="preserve"> the potential cost savings</w:t>
      </w:r>
      <w:r w:rsidR="004739BD" w:rsidRPr="00500F57">
        <w:t xml:space="preserve"> to the Victorian healthcare system</w:t>
      </w:r>
      <w:r w:rsidRPr="00500F57">
        <w:t xml:space="preserve"> per person</w:t>
      </w:r>
      <w:r w:rsidR="004739BD" w:rsidRPr="00500F57">
        <w:t xml:space="preserve"> who moves from being </w:t>
      </w:r>
      <w:r w:rsidR="00A14B51" w:rsidRPr="00500F57">
        <w:t xml:space="preserve">insufficiently </w:t>
      </w:r>
      <w:r w:rsidR="004739BD" w:rsidRPr="00500F57">
        <w:t>physically active to active, measur</w:t>
      </w:r>
      <w:r w:rsidR="0063281C">
        <w:t>ing those benefits</w:t>
      </w:r>
      <w:r w:rsidRPr="00500F57">
        <w:t xml:space="preserve"> over the</w:t>
      </w:r>
      <w:r w:rsidR="0063281C">
        <w:t xml:space="preserve"> population’s</w:t>
      </w:r>
      <w:r w:rsidRPr="00500F57">
        <w:t xml:space="preserve"> lifetime.</w:t>
      </w:r>
      <w:r w:rsidR="00D55005" w:rsidRPr="00500F57">
        <w:t xml:space="preserve"> </w:t>
      </w:r>
      <w:r w:rsidR="00F100E3" w:rsidRPr="00500F57">
        <w:t>It also estimate</w:t>
      </w:r>
      <w:r w:rsidR="0063281C">
        <w:t>d</w:t>
      </w:r>
      <w:r w:rsidR="00F100E3" w:rsidRPr="00500F57">
        <w:t xml:space="preserve"> the</w:t>
      </w:r>
      <w:r w:rsidR="00A14B51" w:rsidRPr="00500F57">
        <w:t xml:space="preserve"> workforce</w:t>
      </w:r>
      <w:r w:rsidR="00F100E3" w:rsidRPr="00500F57">
        <w:t xml:space="preserve"> labour productivity impact of th</w:t>
      </w:r>
      <w:r w:rsidR="0063281C">
        <w:t>os</w:t>
      </w:r>
      <w:r w:rsidR="00F100E3" w:rsidRPr="00500F57">
        <w:t xml:space="preserve">e shifts over the </w:t>
      </w:r>
      <w:r w:rsidR="0063281C">
        <w:t xml:space="preserve">population’s </w:t>
      </w:r>
      <w:r w:rsidR="00F100E3" w:rsidRPr="00500F57">
        <w:t>lifetime.</w:t>
      </w:r>
    </w:p>
    <w:p w:rsidR="005A7653" w:rsidRDefault="005A7653">
      <w:pPr>
        <w:keepLines w:val="0"/>
        <w:spacing w:after="0" w:line="240" w:lineRule="auto"/>
        <w:rPr>
          <w:rFonts w:eastAsia="Lato Light"/>
          <w:color w:val="262626" w:themeColor="text1" w:themeTint="D9"/>
          <w:sz w:val="36"/>
          <w:szCs w:val="36"/>
        </w:rPr>
      </w:pPr>
      <w:r>
        <w:br w:type="page"/>
      </w:r>
    </w:p>
    <w:p w:rsidR="002A2216" w:rsidRPr="00500F57" w:rsidRDefault="002A2216" w:rsidP="002F27A9">
      <w:pPr>
        <w:pStyle w:val="Heading2"/>
      </w:pPr>
      <w:r w:rsidRPr="00500F57">
        <w:lastRenderedPageBreak/>
        <w:t>Health and wellbeing</w:t>
      </w:r>
    </w:p>
    <w:p w:rsidR="00D55005" w:rsidRPr="00500F57" w:rsidRDefault="004739BD" w:rsidP="002F27A9">
      <w:r w:rsidRPr="00500F57">
        <w:t xml:space="preserve">The evaluation of healthcare cost savings </w:t>
      </w:r>
      <w:r w:rsidR="00794E6B">
        <w:t>used</w:t>
      </w:r>
      <w:r w:rsidRPr="00500F57">
        <w:t xml:space="preserve"> a </w:t>
      </w:r>
      <w:r w:rsidR="00A0397A" w:rsidRPr="00500F57">
        <w:t xml:space="preserve">risk factor impact </w:t>
      </w:r>
      <w:r w:rsidRPr="00500F57">
        <w:t xml:space="preserve">(RFI) </w:t>
      </w:r>
      <w:r w:rsidR="00C63B05" w:rsidRPr="00500F57">
        <w:t xml:space="preserve">model </w:t>
      </w:r>
      <w:r w:rsidRPr="00500F57">
        <w:t>previously developed by Deakin Health Economics</w:t>
      </w:r>
      <w:r w:rsidR="007719BC">
        <w:t xml:space="preserve"> (</w:t>
      </w:r>
      <w:proofErr w:type="spellStart"/>
      <w:r w:rsidR="007719BC">
        <w:t>Cadilhac</w:t>
      </w:r>
      <w:proofErr w:type="spellEnd"/>
      <w:r w:rsidR="007719BC">
        <w:t xml:space="preserve"> et al., 2011)</w:t>
      </w:r>
      <w:r w:rsidR="00B02D15" w:rsidRPr="00500F57">
        <w:t xml:space="preserve"> </w:t>
      </w:r>
      <w:r w:rsidR="005F19BD" w:rsidRPr="00500F57">
        <w:t xml:space="preserve">based on </w:t>
      </w:r>
      <w:r w:rsidRPr="00500F57">
        <w:t>Australian Institute of Health and Welfare</w:t>
      </w:r>
      <w:r w:rsidR="00960AE6">
        <w:t xml:space="preserve"> </w:t>
      </w:r>
      <w:r w:rsidRPr="00500F57">
        <w:t>expenditure data.</w:t>
      </w:r>
      <w:r w:rsidR="00D55005" w:rsidRPr="00500F57">
        <w:t xml:space="preserve"> </w:t>
      </w:r>
      <w:r w:rsidRPr="00500F57">
        <w:t>Th</w:t>
      </w:r>
      <w:r w:rsidR="00794E6B">
        <w:t>e</w:t>
      </w:r>
      <w:r w:rsidRPr="00500F57">
        <w:t xml:space="preserve"> model was adapted, improved and updated with current data inputs.</w:t>
      </w:r>
    </w:p>
    <w:p w:rsidR="00F56EDA" w:rsidRPr="00737DF6" w:rsidRDefault="007D2E5A" w:rsidP="00737DF6">
      <w:pPr>
        <w:keepLines w:val="0"/>
        <w:spacing w:after="0" w:line="240" w:lineRule="auto"/>
        <w:rPr>
          <w:rFonts w:eastAsia="Times New Roman"/>
          <w:b/>
          <w:bCs/>
          <w:noProof/>
          <w:color w:val="53565A"/>
          <w:spacing w:val="0"/>
        </w:rPr>
      </w:pPr>
      <w:r w:rsidRPr="00500F57">
        <w:t>A</w:t>
      </w:r>
      <w:r w:rsidR="00960AE6">
        <w:t>ppendix </w:t>
      </w:r>
      <w:r w:rsidR="00F100E3" w:rsidRPr="00500F57">
        <w:t>C</w:t>
      </w:r>
      <w:r w:rsidRPr="00500F57">
        <w:t xml:space="preserve"> discusses how Deakin Health Economics</w:t>
      </w:r>
      <w:r w:rsidR="00794E6B">
        <w:t>’</w:t>
      </w:r>
      <w:r w:rsidR="004739BD" w:rsidRPr="00500F57">
        <w:t xml:space="preserve"> estimates </w:t>
      </w:r>
      <w:r w:rsidR="00794E6B">
        <w:t>we</w:t>
      </w:r>
      <w:r w:rsidR="004739BD" w:rsidRPr="00500F57">
        <w:t>re derived from the RFI</w:t>
      </w:r>
      <w:r w:rsidRPr="00500F57">
        <w:t>.</w:t>
      </w:r>
      <w:r w:rsidR="00D55005" w:rsidRPr="00500F57">
        <w:t xml:space="preserve"> </w:t>
      </w:r>
      <w:r w:rsidR="00C159C7" w:rsidRPr="00500F57">
        <w:t xml:space="preserve">For reasons we discuss </w:t>
      </w:r>
      <w:r w:rsidR="00960AE6">
        <w:t>below</w:t>
      </w:r>
      <w:r w:rsidR="00C159C7" w:rsidRPr="00500F57">
        <w:t xml:space="preserve">, the RFI model is more likely to underestimate the true cost of physical inactivity to the Victorian economy than </w:t>
      </w:r>
      <w:r w:rsidR="00794E6B">
        <w:t xml:space="preserve">to </w:t>
      </w:r>
      <w:r w:rsidR="00C159C7" w:rsidRPr="00500F57">
        <w:t xml:space="preserve">overestimate it, and as a result the true </w:t>
      </w:r>
      <w:r w:rsidR="00F100E3" w:rsidRPr="00500F57">
        <w:t xml:space="preserve">health system </w:t>
      </w:r>
      <w:r w:rsidR="00C159C7" w:rsidRPr="00500F57">
        <w:t xml:space="preserve">cost </w:t>
      </w:r>
      <w:r w:rsidR="00F100E3" w:rsidRPr="00500F57">
        <w:t xml:space="preserve">of physical activity in Victoria </w:t>
      </w:r>
      <w:r w:rsidR="00C159C7" w:rsidRPr="00500F57">
        <w:t>could be larger t</w:t>
      </w:r>
      <w:r w:rsidR="00F100E3" w:rsidRPr="00500F57">
        <w:t xml:space="preserve">han the estimates </w:t>
      </w:r>
      <w:r w:rsidR="00794E6B">
        <w:t>given here</w:t>
      </w:r>
      <w:r w:rsidR="00C159C7" w:rsidRPr="00500F57">
        <w:t>.</w:t>
      </w:r>
      <w:r w:rsidR="00DD11DD" w:rsidRPr="00500F57">
        <w:fldChar w:fldCharType="begin"/>
      </w:r>
      <w:r w:rsidR="00B02EFB" w:rsidRPr="00500F57">
        <w:instrText xml:space="preserve"> REF _Ref464070288 \h </w:instrText>
      </w:r>
      <w:r w:rsidR="00DD11DD" w:rsidRPr="00500F57">
        <w:fldChar w:fldCharType="end"/>
      </w:r>
      <w:r w:rsidR="00B02EFB" w:rsidRPr="00500F57">
        <w:t xml:space="preserve"> </w:t>
      </w:r>
      <w:r w:rsidR="00737DF6">
        <w:t xml:space="preserve">Table 13 </w:t>
      </w:r>
      <w:r w:rsidR="00B02EFB" w:rsidRPr="00500F57">
        <w:t>summarises key outputs from the</w:t>
      </w:r>
      <w:r w:rsidR="004739BD" w:rsidRPr="00500F57">
        <w:t xml:space="preserve"> De</w:t>
      </w:r>
      <w:r w:rsidR="00B02EFB" w:rsidRPr="00500F57">
        <w:t>akin Health Economics RFI model:</w:t>
      </w:r>
    </w:p>
    <w:p w:rsidR="00B02EFB" w:rsidRPr="00500F57" w:rsidRDefault="00960AE6" w:rsidP="002F27A9">
      <w:pPr>
        <w:pStyle w:val="ListParagraph"/>
      </w:pPr>
      <w:r>
        <w:t>T</w:t>
      </w:r>
      <w:r w:rsidR="00784393" w:rsidRPr="00500F57">
        <w:t xml:space="preserve">here are around </w:t>
      </w:r>
      <w:r w:rsidR="006766DC" w:rsidRPr="00500F57">
        <w:t>2.</w:t>
      </w:r>
      <w:r w:rsidR="00D55005" w:rsidRPr="00500F57">
        <w:t>5 m</w:t>
      </w:r>
      <w:r w:rsidR="00B02EFB" w:rsidRPr="00500F57">
        <w:t xml:space="preserve">illion Victorians aged 15+ </w:t>
      </w:r>
      <w:r w:rsidR="00A14B51" w:rsidRPr="00500F57">
        <w:t>who are physically inactive</w:t>
      </w:r>
      <w:r>
        <w:t xml:space="preserve"> (tha</w:t>
      </w:r>
      <w:r w:rsidR="00154F7C">
        <w:t>t</w:t>
      </w:r>
      <w:r>
        <w:t xml:space="preserve"> is, they</w:t>
      </w:r>
      <w:r w:rsidR="00A14B51" w:rsidRPr="00500F57">
        <w:t xml:space="preserve"> do not meet</w:t>
      </w:r>
      <w:r>
        <w:t xml:space="preserve"> the standards in</w:t>
      </w:r>
      <w:r w:rsidR="00A14B51" w:rsidRPr="00500F57">
        <w:t xml:space="preserve"> </w:t>
      </w:r>
      <w:r w:rsidR="00A14B51" w:rsidRPr="00913B3F">
        <w:rPr>
          <w:i/>
        </w:rPr>
        <w:t xml:space="preserve">Australia’s </w:t>
      </w:r>
      <w:r w:rsidRPr="00913B3F">
        <w:rPr>
          <w:i/>
        </w:rPr>
        <w:t>physical activity and sedentary behaviour guidelines</w:t>
      </w:r>
      <w:r w:rsidR="00D178DC" w:rsidRPr="00500F57">
        <w:t>.</w:t>
      </w:r>
    </w:p>
    <w:p w:rsidR="00D55005" w:rsidRPr="00500F57" w:rsidRDefault="00960AE6" w:rsidP="002F27A9">
      <w:pPr>
        <w:pStyle w:val="ListParagraph"/>
      </w:pPr>
      <w:r>
        <w:t>I</w:t>
      </w:r>
      <w:r w:rsidR="00784393" w:rsidRPr="00500F57">
        <w:t>f th</w:t>
      </w:r>
      <w:r>
        <w:t>o</w:t>
      </w:r>
      <w:r w:rsidR="00784393" w:rsidRPr="00500F57">
        <w:t xml:space="preserve">se </w:t>
      </w:r>
      <w:r w:rsidR="006766DC" w:rsidRPr="00500F57">
        <w:t>2.</w:t>
      </w:r>
      <w:r w:rsidR="00D55005" w:rsidRPr="00500F57">
        <w:t>5 m</w:t>
      </w:r>
      <w:r w:rsidR="00B02EFB" w:rsidRPr="00500F57">
        <w:t>illion Victorians remain in</w:t>
      </w:r>
      <w:r w:rsidR="00A14B51" w:rsidRPr="00500F57">
        <w:t xml:space="preserve">sufficiently </w:t>
      </w:r>
      <w:r w:rsidR="00B02EFB" w:rsidRPr="00500F57">
        <w:t xml:space="preserve">active, over their lifetime </w:t>
      </w:r>
      <w:r w:rsidR="00A14B51" w:rsidRPr="00500F57">
        <w:t>this</w:t>
      </w:r>
      <w:r w:rsidR="00C159C7" w:rsidRPr="00500F57">
        <w:t xml:space="preserve"> will result in</w:t>
      </w:r>
      <w:r w:rsidR="00911B40" w:rsidRPr="00500F57">
        <w:t xml:space="preserve"> </w:t>
      </w:r>
      <w:r w:rsidR="005F19BD" w:rsidRPr="00500F57">
        <w:t xml:space="preserve">a </w:t>
      </w:r>
      <w:r w:rsidR="00911B40" w:rsidRPr="00500F57">
        <w:t xml:space="preserve">disease </w:t>
      </w:r>
      <w:r w:rsidR="00C159C7" w:rsidRPr="00500F57">
        <w:t>burden attributable to physical inactivity of around 65,00</w:t>
      </w:r>
      <w:r w:rsidR="00D55005" w:rsidRPr="00500F57">
        <w:t>0 </w:t>
      </w:r>
      <w:r w:rsidR="00794E6B">
        <w:t>disability-adjusted life years (</w:t>
      </w:r>
      <w:r w:rsidR="00D55005" w:rsidRPr="00500F57">
        <w:t>D</w:t>
      </w:r>
      <w:r w:rsidR="00911B40" w:rsidRPr="00500F57">
        <w:t>ALYs</w:t>
      </w:r>
      <w:r w:rsidR="00794E6B">
        <w:t>)</w:t>
      </w:r>
      <w:r>
        <w:t>.</w:t>
      </w:r>
      <w:r w:rsidR="00911B40" w:rsidRPr="00500F57">
        <w:rPr>
          <w:rStyle w:val="FootnoteReference"/>
        </w:rPr>
        <w:footnoteReference w:id="8"/>
      </w:r>
      <w:r w:rsidR="00D55005" w:rsidRPr="00500F57">
        <w:t xml:space="preserve"> </w:t>
      </w:r>
      <w:r w:rsidR="00C159C7" w:rsidRPr="00500F57">
        <w:t>Their physical inactivity will also lead to around 16,00</w:t>
      </w:r>
      <w:r w:rsidR="00D55005" w:rsidRPr="00500F57">
        <w:t>0 c</w:t>
      </w:r>
      <w:r w:rsidR="00C159C7" w:rsidRPr="00500F57">
        <w:t xml:space="preserve">ases of cancer, cardiovascular disease, diabetes </w:t>
      </w:r>
      <w:r w:rsidR="00794E6B">
        <w:t>or</w:t>
      </w:r>
      <w:r w:rsidR="00794E6B" w:rsidRPr="00500F57">
        <w:t xml:space="preserve"> </w:t>
      </w:r>
      <w:r w:rsidR="00C159C7" w:rsidRPr="00500F57">
        <w:t>fall</w:t>
      </w:r>
      <w:r>
        <w:t>-</w:t>
      </w:r>
      <w:r w:rsidR="00C159C7" w:rsidRPr="00500F57">
        <w:t>related injur</w:t>
      </w:r>
      <w:r>
        <w:t>y</w:t>
      </w:r>
      <w:r w:rsidR="00C159C7" w:rsidRPr="00500F57">
        <w:t xml:space="preserve">. </w:t>
      </w:r>
      <w:r w:rsidR="00A14B51" w:rsidRPr="00500F57">
        <w:t>Insufficient physical activity</w:t>
      </w:r>
      <w:r w:rsidR="00C159C7" w:rsidRPr="00500F57">
        <w:t xml:space="preserve"> would also result in around 4,00</w:t>
      </w:r>
      <w:r w:rsidR="00D55005" w:rsidRPr="00500F57">
        <w:t>0 d</w:t>
      </w:r>
      <w:r w:rsidR="00C159C7" w:rsidRPr="00500F57">
        <w:t xml:space="preserve">eaths </w:t>
      </w:r>
      <w:r w:rsidR="00784393" w:rsidRPr="00500F57">
        <w:t xml:space="preserve">in the population </w:t>
      </w:r>
      <w:r w:rsidR="00C159C7" w:rsidRPr="00500F57">
        <w:t xml:space="preserve">that </w:t>
      </w:r>
      <w:r w:rsidR="00784393" w:rsidRPr="00500F57">
        <w:t>would be directly attributable to the</w:t>
      </w:r>
      <w:r w:rsidR="00C159C7" w:rsidRPr="00500F57">
        <w:t xml:space="preserve"> population being physically inactive.</w:t>
      </w:r>
    </w:p>
    <w:p w:rsidR="00D55005" w:rsidRPr="00500F57" w:rsidRDefault="00960AE6" w:rsidP="002F27A9">
      <w:pPr>
        <w:pStyle w:val="ListParagraph"/>
      </w:pPr>
      <w:r>
        <w:t>I</w:t>
      </w:r>
      <w:r w:rsidR="0027707E" w:rsidRPr="00500F57">
        <w:t xml:space="preserve">n addition to </w:t>
      </w:r>
      <w:r w:rsidR="00794E6B">
        <w:t>its</w:t>
      </w:r>
      <w:r w:rsidR="00794E6B" w:rsidRPr="00500F57">
        <w:t xml:space="preserve"> </w:t>
      </w:r>
      <w:r w:rsidR="0027707E" w:rsidRPr="00500F57">
        <w:t xml:space="preserve">direct health impacts, </w:t>
      </w:r>
      <w:r w:rsidR="00A14B51" w:rsidRPr="00500F57">
        <w:t xml:space="preserve">insufficient </w:t>
      </w:r>
      <w:r w:rsidR="0027707E" w:rsidRPr="00500F57">
        <w:t>physical activity in the Victorian 15+ population has direct impacts on labour and home producti</w:t>
      </w:r>
      <w:r w:rsidR="00794E6B">
        <w:t>vity</w:t>
      </w:r>
      <w:r w:rsidR="0027707E" w:rsidRPr="00500F57">
        <w:t>.</w:t>
      </w:r>
      <w:r w:rsidR="00D55005" w:rsidRPr="00500F57">
        <w:t xml:space="preserve"> </w:t>
      </w:r>
      <w:r w:rsidR="0027707E" w:rsidRPr="00500F57">
        <w:t>Over the lifetime of the Victorian working-age population</w:t>
      </w:r>
      <w:r w:rsidR="005F19BD" w:rsidRPr="00500F57">
        <w:t>,</w:t>
      </w:r>
      <w:r w:rsidR="0027707E" w:rsidRPr="00500F57">
        <w:t xml:space="preserve"> </w:t>
      </w:r>
      <w:r w:rsidR="00A14B51" w:rsidRPr="00500F57">
        <w:t>around</w:t>
      </w:r>
      <w:r w:rsidR="0027707E" w:rsidRPr="00500F57">
        <w:t xml:space="preserve"> 132,000 working days</w:t>
      </w:r>
      <w:r w:rsidR="00D178DC" w:rsidRPr="00500F57">
        <w:t xml:space="preserve"> </w:t>
      </w:r>
      <w:r>
        <w:t xml:space="preserve">would be </w:t>
      </w:r>
      <w:r w:rsidR="00D178DC" w:rsidRPr="00500F57">
        <w:t>lost in the Victorian economy</w:t>
      </w:r>
      <w:r w:rsidR="0027707E" w:rsidRPr="00500F57">
        <w:t xml:space="preserve"> due to disease related to physical inactivity</w:t>
      </w:r>
      <w:r w:rsidR="00D178DC" w:rsidRPr="00500F57">
        <w:t xml:space="preserve"> in the 2016 </w:t>
      </w:r>
      <w:r w:rsidR="00A14B51" w:rsidRPr="00500F57">
        <w:t xml:space="preserve">adult </w:t>
      </w:r>
      <w:r w:rsidR="00D178DC" w:rsidRPr="00500F57">
        <w:t>population</w:t>
      </w:r>
      <w:r w:rsidR="0027707E" w:rsidRPr="00500F57">
        <w:t>. While this statistic may appear low</w:t>
      </w:r>
      <w:r>
        <w:t>,</w:t>
      </w:r>
      <w:r w:rsidR="0027707E" w:rsidRPr="00500F57">
        <w:t xml:space="preserve"> t</w:t>
      </w:r>
      <w:r>
        <w:t>hat</w:t>
      </w:r>
      <w:r w:rsidR="0027707E" w:rsidRPr="00500F57">
        <w:t xml:space="preserve"> is because most of the health loss associated with </w:t>
      </w:r>
      <w:r w:rsidR="00A14B51" w:rsidRPr="00500F57">
        <w:t xml:space="preserve">insufficient </w:t>
      </w:r>
      <w:r w:rsidR="0027707E" w:rsidRPr="00500F57">
        <w:t>physical</w:t>
      </w:r>
      <w:r w:rsidR="00794E6B">
        <w:t xml:space="preserve"> activity</w:t>
      </w:r>
      <w:r w:rsidR="0027707E" w:rsidRPr="00500F57">
        <w:t xml:space="preserve"> occurs in people over the age of 6</w:t>
      </w:r>
      <w:r w:rsidR="00D55005" w:rsidRPr="00500F57">
        <w:t>5 y</w:t>
      </w:r>
      <w:r w:rsidR="0027707E" w:rsidRPr="00500F57">
        <w:t>ears</w:t>
      </w:r>
      <w:r w:rsidR="00A14B51" w:rsidRPr="00500F57">
        <w:t xml:space="preserve"> and therefore mainly out of the workforce</w:t>
      </w:r>
      <w:r>
        <w:t>.</w:t>
      </w:r>
      <w:r w:rsidRPr="00960AE6">
        <w:t xml:space="preserve"> </w:t>
      </w:r>
      <w:r>
        <w:t>B</w:t>
      </w:r>
      <w:r w:rsidRPr="00500F57">
        <w:t>ecause of ill</w:t>
      </w:r>
      <w:r>
        <w:t>-</w:t>
      </w:r>
      <w:r w:rsidRPr="00500F57">
        <w:t>health</w:t>
      </w:r>
      <w:r>
        <w:t>,</w:t>
      </w:r>
      <w:r w:rsidR="00B92096" w:rsidRPr="00500F57">
        <w:t xml:space="preserve"> </w:t>
      </w:r>
      <w:r>
        <w:t>o</w:t>
      </w:r>
      <w:r w:rsidR="00B92096" w:rsidRPr="00500F57">
        <w:t>ver the lifetime of all adults</w:t>
      </w:r>
      <w:r>
        <w:t>,</w:t>
      </w:r>
      <w:r w:rsidR="00B92096" w:rsidRPr="00500F57">
        <w:t xml:space="preserve"> </w:t>
      </w:r>
      <w:r w:rsidR="00A14B51" w:rsidRPr="00500F57">
        <w:t>an estimated</w:t>
      </w:r>
      <w:r w:rsidR="00B92096" w:rsidRPr="00500F57">
        <w:t xml:space="preserve"> 850,00</w:t>
      </w:r>
      <w:r w:rsidR="00D55005" w:rsidRPr="00500F57">
        <w:t>0 d</w:t>
      </w:r>
      <w:r w:rsidR="00B92096" w:rsidRPr="00500F57">
        <w:t xml:space="preserve">ays </w:t>
      </w:r>
      <w:r>
        <w:t xml:space="preserve">would be </w:t>
      </w:r>
      <w:r w:rsidR="00B92096" w:rsidRPr="00500F57">
        <w:t>lost that would have been used for household production activities</w:t>
      </w:r>
      <w:r>
        <w:t>, along with</w:t>
      </w:r>
      <w:r w:rsidR="00B92096" w:rsidRPr="00500F57">
        <w:t xml:space="preserve"> 1.</w:t>
      </w:r>
      <w:r w:rsidR="00D55005" w:rsidRPr="00500F57">
        <w:t>6 m</w:t>
      </w:r>
      <w:r w:rsidR="00B92096" w:rsidRPr="00500F57">
        <w:t xml:space="preserve">illion days of lost leisure due to </w:t>
      </w:r>
      <w:r>
        <w:t xml:space="preserve">illness related to </w:t>
      </w:r>
      <w:r w:rsidR="00B92096" w:rsidRPr="00500F57">
        <w:t>physical inactivity.</w:t>
      </w:r>
    </w:p>
    <w:p w:rsidR="00D55005" w:rsidRDefault="00960AE6" w:rsidP="002F27A9">
      <w:pPr>
        <w:pStyle w:val="ListParagraph"/>
      </w:pPr>
      <w:r>
        <w:t>E</w:t>
      </w:r>
      <w:r w:rsidR="00D54121" w:rsidRPr="00500F57">
        <w:t>liminating</w:t>
      </w:r>
      <w:r w:rsidR="00B92096" w:rsidRPr="00500F57">
        <w:t xml:space="preserve"> physical inactivity entirely from the </w:t>
      </w:r>
      <w:r w:rsidR="00D54121" w:rsidRPr="00500F57">
        <w:t xml:space="preserve">Victorian 2016 15+ </w:t>
      </w:r>
      <w:r w:rsidRPr="00500F57">
        <w:t xml:space="preserve">year </w:t>
      </w:r>
      <w:r w:rsidR="00D54121" w:rsidRPr="00500F57">
        <w:t>population would conservatively save the Victorian healthcare system around $25</w:t>
      </w:r>
      <w:r w:rsidR="00D55005" w:rsidRPr="00500F57">
        <w:t>0 m</w:t>
      </w:r>
      <w:r w:rsidR="00D54121" w:rsidRPr="00500F57">
        <w:t xml:space="preserve">illion over the lifetime of the </w:t>
      </w:r>
      <w:r w:rsidR="00D178DC" w:rsidRPr="00500F57">
        <w:t>in</w:t>
      </w:r>
      <w:r w:rsidR="00A118DB" w:rsidRPr="00500F57">
        <w:t xml:space="preserve">sufficiently </w:t>
      </w:r>
      <w:r w:rsidR="00D178DC" w:rsidRPr="00500F57">
        <w:t xml:space="preserve">active </w:t>
      </w:r>
      <w:r w:rsidR="00D54121" w:rsidRPr="00500F57">
        <w:t>population. The healthcare savings would come from avoided health sector expenditure for the Victorian population that w</w:t>
      </w:r>
      <w:r>
        <w:t>as</w:t>
      </w:r>
      <w:r w:rsidR="00D54121" w:rsidRPr="00500F57">
        <w:t xml:space="preserve"> attributable to all cases of disease and each case of </w:t>
      </w:r>
      <w:r>
        <w:t xml:space="preserve">disease related to </w:t>
      </w:r>
      <w:r w:rsidR="00D54121" w:rsidRPr="00500F57">
        <w:t xml:space="preserve">physical inactivity, assuming </w:t>
      </w:r>
      <w:r>
        <w:t xml:space="preserve">that </w:t>
      </w:r>
      <w:r w:rsidR="00D54121" w:rsidRPr="00500F57">
        <w:t>the health sector expenditure in any single year approximates the lifetime cost of a new case of physical inactivity related disease.</w:t>
      </w:r>
    </w:p>
    <w:p w:rsidR="0034748A" w:rsidRPr="005A7653" w:rsidRDefault="00B539C9" w:rsidP="005A7653">
      <w:pPr>
        <w:pStyle w:val="ListParagraph"/>
      </w:pPr>
      <w:r w:rsidRPr="00B539C9">
        <w:t>In terms of the economy, every one per cent increase in the number of Victorians who are sufficiently active will result in the creation of around 1,300 full time equivalent jobs and generate</w:t>
      </w:r>
      <w:r w:rsidR="00670BA2">
        <w:t>, on average, an additional $160</w:t>
      </w:r>
      <w:bookmarkStart w:id="74" w:name="_GoBack"/>
      <w:bookmarkEnd w:id="74"/>
      <w:r w:rsidRPr="00B539C9">
        <w:t xml:space="preserve"> million in gross value added economic benefit per year.</w:t>
      </w:r>
      <w:bookmarkStart w:id="75" w:name="_Ref464070288"/>
      <w:r w:rsidR="0034748A">
        <w:br w:type="page"/>
      </w:r>
    </w:p>
    <w:p w:rsidR="00B02EFB" w:rsidRPr="00F56EDA" w:rsidRDefault="00B02EFB" w:rsidP="00737DF6">
      <w:pPr>
        <w:pStyle w:val="Caption"/>
      </w:pPr>
      <w:r w:rsidRPr="00500F57">
        <w:lastRenderedPageBreak/>
        <w:t>Table</w:t>
      </w:r>
      <w:bookmarkEnd w:id="75"/>
      <w:r w:rsidR="007C0708">
        <w:t xml:space="preserve"> 13</w:t>
      </w:r>
      <w:r w:rsidR="003A137D" w:rsidRPr="00500F57">
        <w:t>:</w:t>
      </w:r>
      <w:r w:rsidR="00D55005" w:rsidRPr="00500F57">
        <w:t xml:space="preserve"> </w:t>
      </w:r>
      <w:r w:rsidR="003A137D" w:rsidRPr="00500F57">
        <w:t>T</w:t>
      </w:r>
      <w:r w:rsidRPr="00500F57">
        <w:t xml:space="preserve">he lifetime </w:t>
      </w:r>
      <w:r w:rsidR="003A137D" w:rsidRPr="00500F57">
        <w:t xml:space="preserve">health </w:t>
      </w:r>
      <w:r w:rsidRPr="00500F57">
        <w:t xml:space="preserve">burden of physical inactivity on Victoria’s 15+ population in 2016 and the lifetime </w:t>
      </w:r>
      <w:r w:rsidR="003A137D" w:rsidRPr="00500F57">
        <w:t xml:space="preserve">health </w:t>
      </w:r>
      <w:r w:rsidRPr="00500F57">
        <w:t>benefit of becomin</w:t>
      </w:r>
      <w:r w:rsidR="00D54121" w:rsidRPr="00500F57">
        <w:t xml:space="preserve">g physically </w:t>
      </w:r>
      <w:r w:rsidR="005404CC" w:rsidRPr="00500F57">
        <w:t>active</w:t>
      </w:r>
    </w:p>
    <w:tbl>
      <w:tblPr>
        <w:tblStyle w:val="MJAnew"/>
        <w:tblW w:w="0" w:type="auto"/>
        <w:tblInd w:w="108" w:type="dxa"/>
        <w:tblLayout w:type="fixed"/>
        <w:tblLook w:val="01E0" w:firstRow="1" w:lastRow="1" w:firstColumn="1" w:lastColumn="1" w:noHBand="0" w:noVBand="0"/>
      </w:tblPr>
      <w:tblGrid>
        <w:gridCol w:w="5812"/>
        <w:gridCol w:w="1276"/>
      </w:tblGrid>
      <w:tr w:rsidR="00402A2A" w:rsidRPr="00402A2A" w:rsidTr="00427835">
        <w:tc>
          <w:tcPr>
            <w:tcW w:w="5812" w:type="dxa"/>
            <w:vAlign w:val="bottom"/>
          </w:tcPr>
          <w:p w:rsidR="00402A2A" w:rsidRPr="00402A2A" w:rsidRDefault="00402A2A" w:rsidP="002F27A9">
            <w:pPr>
              <w:pStyle w:val="Tablerow"/>
              <w:rPr>
                <w:b/>
              </w:rPr>
            </w:pPr>
            <w:proofErr w:type="spellStart"/>
            <w:r w:rsidRPr="00402A2A">
              <w:rPr>
                <w:b/>
              </w:rPr>
              <w:t>Descrition</w:t>
            </w:r>
            <w:proofErr w:type="spellEnd"/>
          </w:p>
        </w:tc>
        <w:tc>
          <w:tcPr>
            <w:tcW w:w="1276" w:type="dxa"/>
            <w:vAlign w:val="bottom"/>
          </w:tcPr>
          <w:p w:rsidR="00402A2A" w:rsidRPr="00402A2A" w:rsidRDefault="00402A2A" w:rsidP="002F27A9">
            <w:pPr>
              <w:pStyle w:val="Tablerow"/>
              <w:rPr>
                <w:b/>
              </w:rPr>
            </w:pPr>
            <w:r w:rsidRPr="00402A2A">
              <w:rPr>
                <w:b/>
              </w:rPr>
              <w:t>Data</w:t>
            </w:r>
          </w:p>
        </w:tc>
      </w:tr>
      <w:tr w:rsidR="00B02EFB" w:rsidRPr="00F90D20" w:rsidTr="00427835">
        <w:tc>
          <w:tcPr>
            <w:tcW w:w="5812" w:type="dxa"/>
            <w:vAlign w:val="bottom"/>
          </w:tcPr>
          <w:p w:rsidR="00B02EFB" w:rsidRPr="00F90D20" w:rsidRDefault="00B02EFB" w:rsidP="002F27A9">
            <w:pPr>
              <w:pStyle w:val="Tablerow"/>
            </w:pPr>
            <w:r w:rsidRPr="00F90D20">
              <w:t>Victorian population 15</w:t>
            </w:r>
            <w:r w:rsidR="00634F6A" w:rsidRPr="00F90D20">
              <w:t>+</w:t>
            </w:r>
            <w:r w:rsidRPr="00F90D20">
              <w:t xml:space="preserve"> years in 2016</w:t>
            </w:r>
          </w:p>
        </w:tc>
        <w:tc>
          <w:tcPr>
            <w:tcW w:w="1276" w:type="dxa"/>
            <w:vAlign w:val="bottom"/>
          </w:tcPr>
          <w:p w:rsidR="00B02EFB" w:rsidRPr="00F90D20" w:rsidRDefault="00B02EFB" w:rsidP="002F27A9">
            <w:pPr>
              <w:pStyle w:val="Tablerow"/>
            </w:pPr>
            <w:r w:rsidRPr="00F90D20">
              <w:t>4,</w:t>
            </w:r>
            <w:r w:rsidR="00D178DC" w:rsidRPr="00F90D20">
              <w:t>600,000</w:t>
            </w:r>
          </w:p>
        </w:tc>
      </w:tr>
      <w:tr w:rsidR="00B02EFB" w:rsidRPr="00F90D20" w:rsidTr="00427835">
        <w:tc>
          <w:tcPr>
            <w:tcW w:w="5812" w:type="dxa"/>
            <w:vAlign w:val="bottom"/>
          </w:tcPr>
          <w:p w:rsidR="00B02EFB" w:rsidRPr="00F90D20" w:rsidRDefault="00B02EFB" w:rsidP="002F27A9">
            <w:pPr>
              <w:pStyle w:val="Tablerow"/>
            </w:pPr>
            <w:r w:rsidRPr="00F90D20">
              <w:t xml:space="preserve">Proportion of population </w:t>
            </w:r>
            <w:r w:rsidR="00634F6A" w:rsidRPr="00F90D20">
              <w:t xml:space="preserve">that is </w:t>
            </w:r>
            <w:r w:rsidRPr="00F90D20">
              <w:t>physically inactive</w:t>
            </w:r>
          </w:p>
        </w:tc>
        <w:tc>
          <w:tcPr>
            <w:tcW w:w="1276" w:type="dxa"/>
            <w:vAlign w:val="bottom"/>
          </w:tcPr>
          <w:p w:rsidR="00B02EFB" w:rsidRPr="00F90D20" w:rsidRDefault="0031617D" w:rsidP="002F27A9">
            <w:pPr>
              <w:pStyle w:val="Tablerow"/>
            </w:pPr>
            <w:r w:rsidRPr="00F90D20">
              <w:t>52</w:t>
            </w:r>
            <w:r w:rsidR="00B02EFB" w:rsidRPr="00F90D20">
              <w:t>%</w:t>
            </w:r>
          </w:p>
        </w:tc>
      </w:tr>
      <w:tr w:rsidR="00B02EFB" w:rsidRPr="00F90D20" w:rsidTr="00427835">
        <w:tc>
          <w:tcPr>
            <w:tcW w:w="5812" w:type="dxa"/>
            <w:vAlign w:val="bottom"/>
          </w:tcPr>
          <w:p w:rsidR="00B02EFB" w:rsidRPr="00F90D20" w:rsidRDefault="00B02EFB" w:rsidP="002F27A9">
            <w:pPr>
              <w:pStyle w:val="Tablerow"/>
            </w:pPr>
            <w:r w:rsidRPr="00F90D20">
              <w:t xml:space="preserve">Victorian population </w:t>
            </w:r>
            <w:r w:rsidR="00634F6A" w:rsidRPr="00F90D20">
              <w:t>that is</w:t>
            </w:r>
            <w:r w:rsidRPr="00F90D20">
              <w:t xml:space="preserve"> physically inactive</w:t>
            </w:r>
          </w:p>
        </w:tc>
        <w:tc>
          <w:tcPr>
            <w:tcW w:w="1276" w:type="dxa"/>
            <w:vAlign w:val="bottom"/>
          </w:tcPr>
          <w:p w:rsidR="00B02EFB" w:rsidRPr="00F90D20" w:rsidRDefault="006766DC" w:rsidP="002F27A9">
            <w:pPr>
              <w:pStyle w:val="Tablerow"/>
            </w:pPr>
            <w:r w:rsidRPr="00F90D20">
              <w:t>2,4</w:t>
            </w:r>
            <w:r w:rsidR="0031617D" w:rsidRPr="00F90D20">
              <w:t>80,000</w:t>
            </w:r>
          </w:p>
        </w:tc>
      </w:tr>
      <w:tr w:rsidR="00B02EFB" w:rsidRPr="00F90D20" w:rsidTr="00427835">
        <w:tc>
          <w:tcPr>
            <w:tcW w:w="5812" w:type="dxa"/>
            <w:vAlign w:val="bottom"/>
          </w:tcPr>
          <w:p w:rsidR="00B02EFB" w:rsidRPr="00F90D20" w:rsidRDefault="00B02EFB" w:rsidP="002F27A9">
            <w:pPr>
              <w:pStyle w:val="Tablerow"/>
            </w:pPr>
            <w:r w:rsidRPr="00F90D20">
              <w:t>Lifetime health impacts of physical inactivity</w:t>
            </w:r>
          </w:p>
        </w:tc>
        <w:tc>
          <w:tcPr>
            <w:tcW w:w="1276" w:type="dxa"/>
            <w:vAlign w:val="bottom"/>
          </w:tcPr>
          <w:p w:rsidR="00B02EFB" w:rsidRPr="00F90D20" w:rsidRDefault="00B02EFB" w:rsidP="002F27A9">
            <w:pPr>
              <w:pStyle w:val="Tablerow"/>
              <w:jc w:val="right"/>
              <w:rPr>
                <w:sz w:val="20"/>
              </w:rPr>
            </w:pPr>
          </w:p>
        </w:tc>
      </w:tr>
      <w:tr w:rsidR="00B02EFB" w:rsidRPr="00F90D20" w:rsidTr="00427835">
        <w:tc>
          <w:tcPr>
            <w:tcW w:w="5812" w:type="dxa"/>
            <w:vAlign w:val="bottom"/>
          </w:tcPr>
          <w:p w:rsidR="00B02EFB" w:rsidRPr="00F90D20" w:rsidRDefault="00B02EFB" w:rsidP="002F27A9">
            <w:pPr>
              <w:pStyle w:val="Tablerow"/>
            </w:pPr>
            <w:r w:rsidRPr="00F90D20">
              <w:t>Total DALYS</w:t>
            </w:r>
            <w:r w:rsidR="00D55005" w:rsidRPr="00F90D20">
              <w:t xml:space="preserve"> </w:t>
            </w:r>
          </w:p>
        </w:tc>
        <w:tc>
          <w:tcPr>
            <w:tcW w:w="1276" w:type="dxa"/>
            <w:vAlign w:val="bottom"/>
          </w:tcPr>
          <w:p w:rsidR="00B02EFB" w:rsidRPr="00F90D20" w:rsidRDefault="00B02EFB" w:rsidP="002F27A9">
            <w:pPr>
              <w:pStyle w:val="Tablerow"/>
            </w:pPr>
            <w:r w:rsidRPr="00F90D20">
              <w:t>65,</w:t>
            </w:r>
            <w:r w:rsidR="00D178DC" w:rsidRPr="00F90D20">
              <w:t>000</w:t>
            </w:r>
          </w:p>
        </w:tc>
      </w:tr>
      <w:tr w:rsidR="00B02EFB" w:rsidRPr="00F90D20" w:rsidTr="00427835">
        <w:tc>
          <w:tcPr>
            <w:tcW w:w="5812" w:type="dxa"/>
            <w:vAlign w:val="bottom"/>
          </w:tcPr>
          <w:p w:rsidR="00B02EFB" w:rsidRPr="00F90D20" w:rsidRDefault="00B02EFB" w:rsidP="002F27A9">
            <w:pPr>
              <w:pStyle w:val="Tablerow"/>
            </w:pPr>
            <w:r w:rsidRPr="00F90D20">
              <w:t xml:space="preserve">Total incident cases of disease </w:t>
            </w:r>
          </w:p>
        </w:tc>
        <w:tc>
          <w:tcPr>
            <w:tcW w:w="1276" w:type="dxa"/>
            <w:vAlign w:val="bottom"/>
          </w:tcPr>
          <w:p w:rsidR="00B02EFB" w:rsidRPr="00F90D20" w:rsidRDefault="00B02EFB" w:rsidP="002F27A9">
            <w:pPr>
              <w:pStyle w:val="Tablerow"/>
            </w:pPr>
            <w:r w:rsidRPr="00F90D20">
              <w:t>16,000</w:t>
            </w:r>
          </w:p>
        </w:tc>
      </w:tr>
      <w:tr w:rsidR="00B02EFB" w:rsidRPr="00F90D20" w:rsidTr="00427835">
        <w:tc>
          <w:tcPr>
            <w:tcW w:w="5812" w:type="dxa"/>
            <w:vAlign w:val="bottom"/>
          </w:tcPr>
          <w:p w:rsidR="00B02EFB" w:rsidRPr="00F90D20" w:rsidRDefault="00B02EFB" w:rsidP="002F27A9">
            <w:pPr>
              <w:pStyle w:val="Tablerow"/>
            </w:pPr>
            <w:r w:rsidRPr="00F90D20">
              <w:t xml:space="preserve">Total deaths </w:t>
            </w:r>
          </w:p>
        </w:tc>
        <w:tc>
          <w:tcPr>
            <w:tcW w:w="1276" w:type="dxa"/>
            <w:vAlign w:val="bottom"/>
          </w:tcPr>
          <w:p w:rsidR="00B02EFB" w:rsidRPr="00F90D20" w:rsidRDefault="00D178DC" w:rsidP="002F27A9">
            <w:pPr>
              <w:pStyle w:val="Tablerow"/>
            </w:pPr>
            <w:r w:rsidRPr="00F90D20">
              <w:t>4,000</w:t>
            </w:r>
          </w:p>
        </w:tc>
      </w:tr>
      <w:tr w:rsidR="0027707E" w:rsidRPr="00F90D20" w:rsidTr="00427835">
        <w:tc>
          <w:tcPr>
            <w:tcW w:w="5812" w:type="dxa"/>
            <w:vAlign w:val="bottom"/>
          </w:tcPr>
          <w:p w:rsidR="0027707E" w:rsidRPr="00F90D20" w:rsidRDefault="0027707E" w:rsidP="002F27A9">
            <w:pPr>
              <w:pStyle w:val="Tablerow"/>
            </w:pPr>
            <w:r w:rsidRPr="00F90D20">
              <w:t>Work absenteeism (days)</w:t>
            </w:r>
          </w:p>
        </w:tc>
        <w:tc>
          <w:tcPr>
            <w:tcW w:w="1276" w:type="dxa"/>
            <w:vAlign w:val="bottom"/>
          </w:tcPr>
          <w:p w:rsidR="0027707E" w:rsidRPr="00F90D20" w:rsidRDefault="00D178DC" w:rsidP="002F27A9">
            <w:pPr>
              <w:pStyle w:val="Tablerow"/>
            </w:pPr>
            <w:r w:rsidRPr="00F90D20">
              <w:t>132,000</w:t>
            </w:r>
          </w:p>
        </w:tc>
      </w:tr>
      <w:tr w:rsidR="0027707E" w:rsidRPr="00F90D20" w:rsidTr="00427835">
        <w:tc>
          <w:tcPr>
            <w:tcW w:w="5812" w:type="dxa"/>
            <w:vAlign w:val="bottom"/>
          </w:tcPr>
          <w:p w:rsidR="0027707E" w:rsidRPr="00F90D20" w:rsidRDefault="0027707E" w:rsidP="002F27A9">
            <w:pPr>
              <w:pStyle w:val="Tablerow"/>
            </w:pPr>
            <w:r w:rsidRPr="00F90D20">
              <w:t>Days out of home</w:t>
            </w:r>
            <w:r w:rsidR="00634F6A" w:rsidRPr="00F90D20">
              <w:t>-</w:t>
            </w:r>
            <w:r w:rsidRPr="00F90D20">
              <w:t>based production role</w:t>
            </w:r>
          </w:p>
        </w:tc>
        <w:tc>
          <w:tcPr>
            <w:tcW w:w="1276" w:type="dxa"/>
            <w:vAlign w:val="bottom"/>
          </w:tcPr>
          <w:p w:rsidR="0027707E" w:rsidRPr="00F90D20" w:rsidRDefault="00D178DC" w:rsidP="002F27A9">
            <w:pPr>
              <w:pStyle w:val="Tablerow"/>
            </w:pPr>
            <w:r w:rsidRPr="00F90D20">
              <w:t>85</w:t>
            </w:r>
            <w:r w:rsidR="00A118DB" w:rsidRPr="00F90D20">
              <w:t>0</w:t>
            </w:r>
            <w:r w:rsidRPr="00F90D20">
              <w:t>,000</w:t>
            </w:r>
          </w:p>
        </w:tc>
      </w:tr>
      <w:tr w:rsidR="00B92096" w:rsidRPr="00F90D20" w:rsidTr="00427835">
        <w:tc>
          <w:tcPr>
            <w:tcW w:w="5812" w:type="dxa"/>
            <w:vAlign w:val="bottom"/>
          </w:tcPr>
          <w:p w:rsidR="00B92096" w:rsidRPr="00F90D20" w:rsidRDefault="00B92096" w:rsidP="002F27A9">
            <w:pPr>
              <w:pStyle w:val="Tablerow"/>
            </w:pPr>
            <w:r w:rsidRPr="00F90D20">
              <w:t>Leisure (days)</w:t>
            </w:r>
          </w:p>
        </w:tc>
        <w:tc>
          <w:tcPr>
            <w:tcW w:w="1276" w:type="dxa"/>
            <w:vAlign w:val="bottom"/>
          </w:tcPr>
          <w:p w:rsidR="00B92096" w:rsidRPr="00F90D20" w:rsidRDefault="00D178DC" w:rsidP="002F27A9">
            <w:pPr>
              <w:pStyle w:val="Tablerow"/>
            </w:pPr>
            <w:r w:rsidRPr="00F90D20">
              <w:t>1,6</w:t>
            </w:r>
            <w:r w:rsidR="00A118DB" w:rsidRPr="00F90D20">
              <w:t>00</w:t>
            </w:r>
            <w:r w:rsidRPr="00F90D20">
              <w:t>,000</w:t>
            </w:r>
          </w:p>
        </w:tc>
      </w:tr>
      <w:tr w:rsidR="00B02EFB" w:rsidRPr="00F90D20" w:rsidTr="00427835">
        <w:tc>
          <w:tcPr>
            <w:tcW w:w="5812" w:type="dxa"/>
            <w:vAlign w:val="bottom"/>
          </w:tcPr>
          <w:p w:rsidR="00B02EFB" w:rsidRPr="00F90D20" w:rsidRDefault="00DE599B" w:rsidP="002F27A9">
            <w:pPr>
              <w:pStyle w:val="Tablerow"/>
            </w:pPr>
            <w:r w:rsidRPr="00F90D20">
              <w:t xml:space="preserve">Lifetime health impacts of becoming physically active </w:t>
            </w:r>
            <w:r>
              <w:t xml:space="preserve"> - </w:t>
            </w:r>
            <w:r w:rsidR="00B02EFB" w:rsidRPr="00F90D20">
              <w:t>Total health sector cost savings</w:t>
            </w:r>
          </w:p>
        </w:tc>
        <w:tc>
          <w:tcPr>
            <w:tcW w:w="1276" w:type="dxa"/>
            <w:vAlign w:val="bottom"/>
          </w:tcPr>
          <w:p w:rsidR="00B02EFB" w:rsidRPr="00F90D20" w:rsidRDefault="00634F6A" w:rsidP="002F27A9">
            <w:pPr>
              <w:pStyle w:val="Tablerow"/>
            </w:pPr>
            <w:r w:rsidRPr="00F90D20">
              <w:t>$</w:t>
            </w:r>
            <w:r w:rsidR="003E4FB1" w:rsidRPr="00F90D20">
              <w:t>24</w:t>
            </w:r>
            <w:r w:rsidR="00B02EFB" w:rsidRPr="00F90D20">
              <w:t>5</w:t>
            </w:r>
            <w:r w:rsidRPr="00F90D20">
              <w:t xml:space="preserve"> million</w:t>
            </w:r>
          </w:p>
        </w:tc>
      </w:tr>
    </w:tbl>
    <w:p w:rsidR="00D55005" w:rsidRPr="00500F57" w:rsidRDefault="00DF4A9C" w:rsidP="002F27A9">
      <w:pPr>
        <w:pStyle w:val="Heading2"/>
      </w:pPr>
      <w:r w:rsidRPr="00500F57">
        <w:t>Productivity and production</w:t>
      </w:r>
    </w:p>
    <w:p w:rsidR="00D55005" w:rsidRPr="00500F57" w:rsidRDefault="00DF4A9C" w:rsidP="002F27A9">
      <w:r w:rsidRPr="00500F57">
        <w:t>Simila</w:t>
      </w:r>
      <w:r w:rsidR="00D91C6F" w:rsidRPr="00500F57">
        <w:t>r</w:t>
      </w:r>
      <w:r w:rsidR="00634F6A">
        <w:t>ly</w:t>
      </w:r>
      <w:r w:rsidR="00D91C6F" w:rsidRPr="00500F57">
        <w:t xml:space="preserve"> to the way active recreation</w:t>
      </w:r>
      <w:r w:rsidRPr="00500F57">
        <w:t xml:space="preserve"> reduces healthcare costs in Victoria, </w:t>
      </w:r>
      <w:r w:rsidR="00634F6A">
        <w:t>it also</w:t>
      </w:r>
      <w:r w:rsidRPr="00500F57">
        <w:t xml:space="preserve"> contributes to higher productivity and production by lowering absenteeism and </w:t>
      </w:r>
      <w:proofErr w:type="spellStart"/>
      <w:r w:rsidRPr="00500F57">
        <w:t>presenteeism</w:t>
      </w:r>
      <w:proofErr w:type="spellEnd"/>
      <w:r w:rsidRPr="00500F57">
        <w:t xml:space="preserve"> at work and at home.</w:t>
      </w:r>
    </w:p>
    <w:p w:rsidR="003E4FB1" w:rsidRPr="00500F57" w:rsidRDefault="00DF4A9C" w:rsidP="002F27A9">
      <w:r w:rsidRPr="00500F57">
        <w:t xml:space="preserve">The </w:t>
      </w:r>
      <w:r w:rsidR="005404CC" w:rsidRPr="00500F57">
        <w:t>Deakin</w:t>
      </w:r>
      <w:r w:rsidRPr="00500F57">
        <w:t xml:space="preserve"> Health Economics </w:t>
      </w:r>
      <w:r w:rsidR="003E4FB1" w:rsidRPr="00500F57">
        <w:t>RFI model estimates the cost to the economy of workforce production losses directly</w:t>
      </w:r>
      <w:r w:rsidR="00A118DB" w:rsidRPr="00500F57">
        <w:t xml:space="preserve"> for absenteeism only</w:t>
      </w:r>
      <w:r w:rsidR="003E4FB1" w:rsidRPr="00500F57">
        <w:t xml:space="preserve">, using two approaches: the </w:t>
      </w:r>
      <w:r w:rsidR="00634F6A" w:rsidRPr="00500F57">
        <w:t xml:space="preserve">friction cost approach </w:t>
      </w:r>
      <w:r w:rsidR="003E4FB1" w:rsidRPr="00500F57">
        <w:t xml:space="preserve">(FCA) and the </w:t>
      </w:r>
      <w:r w:rsidR="00634F6A" w:rsidRPr="00500F57">
        <w:t xml:space="preserve">human capital approach </w:t>
      </w:r>
      <w:r w:rsidR="003E4FB1" w:rsidRPr="00500F57">
        <w:t xml:space="preserve">(HCA). We present both FCA and HCA estimates </w:t>
      </w:r>
      <w:r w:rsidR="00A118DB" w:rsidRPr="00500F57">
        <w:t>in this section</w:t>
      </w:r>
      <w:r w:rsidR="00634F6A">
        <w:t>,</w:t>
      </w:r>
      <w:r w:rsidR="00A118DB" w:rsidRPr="00500F57">
        <w:t xml:space="preserve"> </w:t>
      </w:r>
      <w:r w:rsidR="003E4FB1" w:rsidRPr="00500F57">
        <w:t xml:space="preserve">since there is still debate in the literature </w:t>
      </w:r>
      <w:r w:rsidR="00634F6A">
        <w:t>about</w:t>
      </w:r>
      <w:r w:rsidR="003E4FB1" w:rsidRPr="00500F57">
        <w:t xml:space="preserve"> the preferred approach.</w:t>
      </w:r>
    </w:p>
    <w:p w:rsidR="00D55005" w:rsidRPr="00500F57" w:rsidRDefault="003E4FB1" w:rsidP="002F27A9">
      <w:r w:rsidRPr="00500F57">
        <w:t>The FCA provides conservative estimates and recognises that employed pe</w:t>
      </w:r>
      <w:r w:rsidR="00634F6A">
        <w:t>ople</w:t>
      </w:r>
      <w:r w:rsidRPr="00500F57">
        <w:t xml:space="preserve"> are often replaced within a short </w:t>
      </w:r>
      <w:r w:rsidR="00634F6A">
        <w:t>‘</w:t>
      </w:r>
      <w:r w:rsidRPr="00500F57">
        <w:t>friction</w:t>
      </w:r>
      <w:r w:rsidR="00634F6A">
        <w:t>’</w:t>
      </w:r>
      <w:r w:rsidRPr="00500F57">
        <w:t xml:space="preserve"> period</w:t>
      </w:r>
      <w:r w:rsidR="00634F6A">
        <w:t xml:space="preserve"> (such as within 3 or 6 months)</w:t>
      </w:r>
      <w:r w:rsidRPr="00500F57">
        <w:t xml:space="preserve"> when they are ill or depart the workplace permanently. </w:t>
      </w:r>
      <w:r w:rsidR="003F185F" w:rsidRPr="00500F57">
        <w:t>The FCA used in this evaluation values the production loss as the total of gross state product (GSP) per hour lost due to absenteeism.</w:t>
      </w:r>
      <w:r w:rsidR="00634F6A" w:rsidRPr="00500F57">
        <w:rPr>
          <w:rStyle w:val="FootnoteReference"/>
        </w:rPr>
        <w:footnoteReference w:id="9"/>
      </w:r>
      <w:r w:rsidR="00D55005" w:rsidRPr="00500F57">
        <w:t xml:space="preserve"> </w:t>
      </w:r>
      <w:r w:rsidR="003F185F" w:rsidRPr="00500F57">
        <w:t>In 2016</w:t>
      </w:r>
      <w:r w:rsidR="00634F6A">
        <w:t>,</w:t>
      </w:r>
      <w:r w:rsidR="003F185F" w:rsidRPr="00500F57">
        <w:t xml:space="preserve"> the average GSP per hour worked in Victoria was $311.40. For this evaluation, this average value was applied to all age groups.</w:t>
      </w:r>
    </w:p>
    <w:p w:rsidR="00D55005" w:rsidRPr="00500F57" w:rsidRDefault="003E4FB1" w:rsidP="002F27A9">
      <w:r w:rsidRPr="00500F57">
        <w:lastRenderedPageBreak/>
        <w:t>The HCA estimates the value of a human life as being the sum of future</w:t>
      </w:r>
      <w:r w:rsidR="003F185F" w:rsidRPr="00500F57">
        <w:t xml:space="preserve"> GSP per worker</w:t>
      </w:r>
      <w:r w:rsidRPr="00500F57">
        <w:t xml:space="preserve"> lost due to leaving the workforce prematurely </w:t>
      </w:r>
      <w:r w:rsidR="00637021">
        <w:t>because of</w:t>
      </w:r>
      <w:r w:rsidRPr="00500F57">
        <w:t xml:space="preserve"> death or disability. As such</w:t>
      </w:r>
      <w:r w:rsidR="00634F6A">
        <w:t>,</w:t>
      </w:r>
      <w:r w:rsidRPr="00500F57">
        <w:t xml:space="preserve"> it generates larger estimates of production gains by the prevention of a premature death or case of disease.</w:t>
      </w:r>
    </w:p>
    <w:p w:rsidR="003E4FB1" w:rsidRPr="00500F57" w:rsidRDefault="003E4FB1" w:rsidP="002F27A9">
      <w:r w:rsidRPr="00500F57">
        <w:t>The RFI model also estimates the production benefits of</w:t>
      </w:r>
      <w:r w:rsidR="00E25A84" w:rsidRPr="00500F57">
        <w:t xml:space="preserve"> unpaid household production</w:t>
      </w:r>
      <w:r w:rsidRPr="00500F57">
        <w:t xml:space="preserve"> (</w:t>
      </w:r>
      <w:r w:rsidR="00337C23">
        <w:t xml:space="preserve">such as </w:t>
      </w:r>
      <w:r w:rsidRPr="00500F57">
        <w:t>cooking</w:t>
      </w:r>
      <w:r w:rsidR="00337C23">
        <w:t xml:space="preserve"> or</w:t>
      </w:r>
      <w:r w:rsidRPr="00500F57">
        <w:t xml:space="preserve"> caring for children) and leisure.</w:t>
      </w:r>
      <w:r w:rsidR="00D55005" w:rsidRPr="00500F57">
        <w:t xml:space="preserve"> </w:t>
      </w:r>
      <w:r w:rsidR="00A118DB" w:rsidRPr="00500F57">
        <w:t xml:space="preserve">It </w:t>
      </w:r>
      <w:r w:rsidR="00E25A84" w:rsidRPr="00500F57">
        <w:t>valu</w:t>
      </w:r>
      <w:r w:rsidR="00A118DB" w:rsidRPr="00500F57">
        <w:t>es</w:t>
      </w:r>
      <w:r w:rsidR="00E25A84" w:rsidRPr="00500F57">
        <w:t xml:space="preserve"> all the household production hours</w:t>
      </w:r>
      <w:r w:rsidR="008402A3">
        <w:t xml:space="preserve"> per </w:t>
      </w:r>
      <w:r w:rsidR="00E25A84" w:rsidRPr="00500F57">
        <w:t>day at the weighted average hourly rate of domestic services and child care (formal and informal) replacement wages. In the RFI model</w:t>
      </w:r>
      <w:r w:rsidR="00337C23">
        <w:t>,</w:t>
      </w:r>
      <w:r w:rsidR="00E25A84" w:rsidRPr="00500F57">
        <w:t xml:space="preserve"> leisure time hours w</w:t>
      </w:r>
      <w:r w:rsidR="00337C23">
        <w:t>ere</w:t>
      </w:r>
      <w:r w:rsidR="00E25A84" w:rsidRPr="00500F57">
        <w:t xml:space="preserve"> valued using the opportunity cost method by using one</w:t>
      </w:r>
      <w:r w:rsidR="00337C23">
        <w:t>-</w:t>
      </w:r>
      <w:r w:rsidR="00E25A84" w:rsidRPr="00500F57">
        <w:t>third of the average hourly Victorian wage for males and females separately.</w:t>
      </w:r>
    </w:p>
    <w:p w:rsidR="001C6CF9" w:rsidRPr="00500F57" w:rsidRDefault="001C6CF9" w:rsidP="00737DF6">
      <w:r w:rsidRPr="00500F57">
        <w:t>Based on RFI model outputs</w:t>
      </w:r>
      <w:r w:rsidR="00337C23">
        <w:t>,</w:t>
      </w:r>
      <w:r w:rsidRPr="00500F57">
        <w:t xml:space="preserve"> </w:t>
      </w:r>
      <w:r w:rsidR="00737DF6">
        <w:t xml:space="preserve">Table 14 </w:t>
      </w:r>
      <w:r w:rsidRPr="00500F57">
        <w:t>shows</w:t>
      </w:r>
      <w:r w:rsidR="003E4FB1" w:rsidRPr="00500F57">
        <w:t xml:space="preserve"> that </w:t>
      </w:r>
      <w:r w:rsidR="006766DC" w:rsidRPr="00500F57">
        <w:t>Victoria’s 2.</w:t>
      </w:r>
      <w:r w:rsidR="00D55005" w:rsidRPr="00500F57">
        <w:t>5 m</w:t>
      </w:r>
      <w:r w:rsidRPr="00500F57">
        <w:t>illion physically inactive 15+ population will create</w:t>
      </w:r>
      <w:r w:rsidR="003E4FB1" w:rsidRPr="00500F57">
        <w:t xml:space="preserve"> </w:t>
      </w:r>
      <w:r w:rsidR="00E25A84" w:rsidRPr="00500F57">
        <w:t>a significant economic burden on workforce,</w:t>
      </w:r>
      <w:r w:rsidR="00737DF6">
        <w:t xml:space="preserve"> </w:t>
      </w:r>
      <w:r w:rsidR="003E4FB1" w:rsidRPr="00500F57">
        <w:t>household and leisure time productivity</w:t>
      </w:r>
      <w:r w:rsidRPr="00500F57">
        <w:t xml:space="preserve"> over </w:t>
      </w:r>
      <w:r w:rsidR="00337C23">
        <w:t>its lifetime</w:t>
      </w:r>
      <w:r w:rsidRPr="00500F57">
        <w:t xml:space="preserve"> because of </w:t>
      </w:r>
      <w:r w:rsidR="008402A3">
        <w:t>its</w:t>
      </w:r>
      <w:r w:rsidR="008402A3" w:rsidRPr="00500F57">
        <w:t xml:space="preserve"> </w:t>
      </w:r>
      <w:r w:rsidR="00A118DB" w:rsidRPr="00500F57">
        <w:t xml:space="preserve">insufficient </w:t>
      </w:r>
      <w:r w:rsidRPr="00500F57">
        <w:t>physical</w:t>
      </w:r>
      <w:r w:rsidR="00A118DB" w:rsidRPr="00500F57">
        <w:t xml:space="preserve"> activity</w:t>
      </w:r>
      <w:r w:rsidRPr="00500F57">
        <w:t>:</w:t>
      </w:r>
    </w:p>
    <w:p w:rsidR="00D55005" w:rsidRPr="00500F57" w:rsidRDefault="00337C23" w:rsidP="002F27A9">
      <w:pPr>
        <w:pStyle w:val="ListParagraph"/>
      </w:pPr>
      <w:r>
        <w:t>T</w:t>
      </w:r>
      <w:r w:rsidR="001C6CF9" w:rsidRPr="00500F57">
        <w:t>he total opportunity cost saving from production gains (working, household activities and leisure) that could potentially be achieved if physical inactivity w</w:t>
      </w:r>
      <w:r w:rsidR="008402A3">
        <w:t>ere</w:t>
      </w:r>
      <w:r w:rsidR="001C6CF9" w:rsidRPr="00500F57">
        <w:t xml:space="preserve"> eliminated from the 2</w:t>
      </w:r>
      <w:r w:rsidR="00E50465" w:rsidRPr="00500F57">
        <w:t xml:space="preserve">016 Victorian 15+ population </w:t>
      </w:r>
      <w:r w:rsidR="008402A3">
        <w:t>would be</w:t>
      </w:r>
      <w:r w:rsidR="008402A3" w:rsidRPr="00500F57">
        <w:t xml:space="preserve"> </w:t>
      </w:r>
      <w:r w:rsidR="001C6CF9" w:rsidRPr="00500F57">
        <w:t>in the order of $3.</w:t>
      </w:r>
      <w:r w:rsidR="00A118DB" w:rsidRPr="00500F57">
        <w:t>3</w:t>
      </w:r>
      <w:r w:rsidR="00D55005" w:rsidRPr="00500F57">
        <w:t>9 b</w:t>
      </w:r>
      <w:r w:rsidR="001C6CF9" w:rsidRPr="00500F57">
        <w:t xml:space="preserve">illion </w:t>
      </w:r>
      <w:r>
        <w:t>(</w:t>
      </w:r>
      <w:r w:rsidR="001C6CF9" w:rsidRPr="00500F57">
        <w:t>using the HCA</w:t>
      </w:r>
      <w:r>
        <w:t>)</w:t>
      </w:r>
      <w:r w:rsidR="00E50465" w:rsidRPr="00500F57">
        <w:t xml:space="preserve"> </w:t>
      </w:r>
      <w:r w:rsidR="001C6CF9" w:rsidRPr="00500F57">
        <w:t>or $</w:t>
      </w:r>
      <w:r w:rsidR="00A118DB" w:rsidRPr="00500F57">
        <w:t>80</w:t>
      </w:r>
      <w:r w:rsidR="00D55005" w:rsidRPr="00500F57">
        <w:t>0 m</w:t>
      </w:r>
      <w:r w:rsidR="001C6CF9" w:rsidRPr="00500F57">
        <w:t xml:space="preserve">illion </w:t>
      </w:r>
      <w:r>
        <w:t>(</w:t>
      </w:r>
      <w:r w:rsidR="001C6CF9" w:rsidRPr="00500F57">
        <w:t>using the FCA</w:t>
      </w:r>
      <w:r>
        <w:t>)</w:t>
      </w:r>
      <w:r w:rsidR="001C6CF9" w:rsidRPr="00500F57">
        <w:t>.</w:t>
      </w:r>
    </w:p>
    <w:p w:rsidR="00F861A3" w:rsidRDefault="00337C23" w:rsidP="002F27A9">
      <w:pPr>
        <w:pStyle w:val="ListParagraph"/>
      </w:pPr>
      <w:r>
        <w:t>T</w:t>
      </w:r>
      <w:r w:rsidR="001C6CF9" w:rsidRPr="00500F57">
        <w:t xml:space="preserve">he potential household gain from </w:t>
      </w:r>
      <w:r w:rsidR="00A118DB" w:rsidRPr="00500F57">
        <w:t>everyone in the</w:t>
      </w:r>
      <w:r w:rsidR="001C6CF9" w:rsidRPr="00500F57">
        <w:t xml:space="preserve"> 2016 15+ Victorian population </w:t>
      </w:r>
      <w:r w:rsidRPr="00500F57">
        <w:t xml:space="preserve">being physically active </w:t>
      </w:r>
      <w:r w:rsidR="001C6CF9" w:rsidRPr="00500F57">
        <w:t>is in the order of $12</w:t>
      </w:r>
      <w:r w:rsidR="00D55005" w:rsidRPr="00500F57">
        <w:t>5 m</w:t>
      </w:r>
      <w:r w:rsidR="001C6CF9" w:rsidRPr="00500F57">
        <w:t xml:space="preserve">illion over the life of the population. In addition, an estimated potential net leisure gain </w:t>
      </w:r>
      <w:r>
        <w:t>of around</w:t>
      </w:r>
      <w:r w:rsidR="001C6CF9" w:rsidRPr="00500F57">
        <w:t xml:space="preserve"> $15</w:t>
      </w:r>
      <w:r w:rsidR="00D55005" w:rsidRPr="00500F57">
        <w:t>0 m</w:t>
      </w:r>
      <w:r w:rsidR="001C6CF9" w:rsidRPr="00500F57">
        <w:t xml:space="preserve">illion at </w:t>
      </w:r>
      <w:r>
        <w:t xml:space="preserve">the </w:t>
      </w:r>
      <w:r w:rsidR="001C6CF9" w:rsidRPr="00500F57">
        <w:t>current prevalence of physical inactivity in Victoria</w:t>
      </w:r>
      <w:r w:rsidR="00BB1DCD" w:rsidRPr="00500F57">
        <w:t xml:space="preserve"> could be realised by eliminating DALY</w:t>
      </w:r>
      <w:r>
        <w:t>s</w:t>
      </w:r>
      <w:r w:rsidR="00BB1DCD" w:rsidRPr="00500F57">
        <w:t>, incidence</w:t>
      </w:r>
      <w:r>
        <w:t>s</w:t>
      </w:r>
      <w:r w:rsidR="00BB1DCD" w:rsidRPr="00500F57">
        <w:t xml:space="preserve"> of disease and death</w:t>
      </w:r>
      <w:r>
        <w:t>s</w:t>
      </w:r>
      <w:r w:rsidR="00BB1DCD" w:rsidRPr="00500F57">
        <w:t xml:space="preserve"> attributable to physical inactivity</w:t>
      </w:r>
      <w:r w:rsidR="001C6CF9" w:rsidRPr="00500F57">
        <w:t>.</w:t>
      </w:r>
      <w:bookmarkStart w:id="76" w:name="_Ref464074228"/>
    </w:p>
    <w:p w:rsidR="003A137D" w:rsidRPr="00500F57" w:rsidRDefault="003A137D" w:rsidP="00737DF6">
      <w:pPr>
        <w:pStyle w:val="Caption"/>
      </w:pPr>
      <w:r w:rsidRPr="00500F57">
        <w:t>Table</w:t>
      </w:r>
      <w:bookmarkEnd w:id="76"/>
      <w:r w:rsidR="007C0708">
        <w:t xml:space="preserve"> 14</w:t>
      </w:r>
      <w:r w:rsidRPr="00500F57">
        <w:t>:</w:t>
      </w:r>
      <w:r w:rsidR="00D55005" w:rsidRPr="00500F57">
        <w:t xml:space="preserve"> </w:t>
      </w:r>
      <w:r w:rsidRPr="00500F57">
        <w:t xml:space="preserve">The lifetime production burden of physical inactivity on Victoria’s 15+ population in 2016 and the lifetime production benefit of becoming physically </w:t>
      </w:r>
      <w:r w:rsidR="00087FA1" w:rsidRPr="00500F57">
        <w:t>active</w:t>
      </w:r>
      <w:r w:rsidR="007C0708">
        <w:rPr>
          <w:rStyle w:val="FootnoteReference"/>
        </w:rPr>
        <w:footnoteReference w:id="10"/>
      </w:r>
    </w:p>
    <w:tbl>
      <w:tblPr>
        <w:tblStyle w:val="MJAnew"/>
        <w:tblW w:w="6804" w:type="dxa"/>
        <w:tblInd w:w="250" w:type="dxa"/>
        <w:tblLook w:val="04A0" w:firstRow="1" w:lastRow="0" w:firstColumn="1" w:lastColumn="0" w:noHBand="0" w:noVBand="1"/>
      </w:tblPr>
      <w:tblGrid>
        <w:gridCol w:w="5245"/>
        <w:gridCol w:w="1559"/>
      </w:tblGrid>
      <w:tr w:rsidR="00402A2A" w:rsidRPr="00402A2A" w:rsidTr="00402A2A">
        <w:trPr>
          <w:trHeight w:val="280"/>
        </w:trPr>
        <w:tc>
          <w:tcPr>
            <w:tcW w:w="5245" w:type="dxa"/>
          </w:tcPr>
          <w:p w:rsidR="00402A2A" w:rsidRPr="00402A2A" w:rsidRDefault="00402A2A" w:rsidP="002F27A9">
            <w:pPr>
              <w:pStyle w:val="Tablerow"/>
              <w:rPr>
                <w:b/>
              </w:rPr>
            </w:pPr>
            <w:proofErr w:type="spellStart"/>
            <w:r w:rsidRPr="00402A2A">
              <w:rPr>
                <w:b/>
              </w:rPr>
              <w:t>Descrition</w:t>
            </w:r>
            <w:proofErr w:type="spellEnd"/>
          </w:p>
        </w:tc>
        <w:tc>
          <w:tcPr>
            <w:tcW w:w="1559" w:type="dxa"/>
          </w:tcPr>
          <w:p w:rsidR="00402A2A" w:rsidRPr="00402A2A" w:rsidRDefault="00402A2A" w:rsidP="002F27A9">
            <w:pPr>
              <w:pStyle w:val="Tablerow"/>
              <w:rPr>
                <w:b/>
              </w:rPr>
            </w:pPr>
            <w:r w:rsidRPr="00402A2A">
              <w:rPr>
                <w:b/>
              </w:rPr>
              <w:t>Data</w:t>
            </w:r>
          </w:p>
        </w:tc>
      </w:tr>
      <w:tr w:rsidR="003A137D" w:rsidRPr="00F90D20" w:rsidTr="00402A2A">
        <w:trPr>
          <w:trHeight w:val="280"/>
        </w:trPr>
        <w:tc>
          <w:tcPr>
            <w:tcW w:w="5245" w:type="dxa"/>
            <w:hideMark/>
          </w:tcPr>
          <w:p w:rsidR="003A137D" w:rsidRPr="00F90D20" w:rsidRDefault="003A137D" w:rsidP="002F27A9">
            <w:pPr>
              <w:pStyle w:val="Tablerow"/>
            </w:pPr>
            <w:r w:rsidRPr="00F90D20">
              <w:t xml:space="preserve">Production </w:t>
            </w:r>
            <w:r w:rsidR="003A604A" w:rsidRPr="00F90D20">
              <w:t>c</w:t>
            </w:r>
            <w:r w:rsidRPr="00F90D20">
              <w:t>osts</w:t>
            </w:r>
            <w:r w:rsidR="003A604A" w:rsidRPr="00F90D20">
              <w:t>—</w:t>
            </w:r>
            <w:r w:rsidRPr="00F90D20">
              <w:t>HCA</w:t>
            </w:r>
          </w:p>
        </w:tc>
        <w:tc>
          <w:tcPr>
            <w:tcW w:w="1559" w:type="dxa"/>
            <w:hideMark/>
          </w:tcPr>
          <w:p w:rsidR="003A137D" w:rsidRPr="00F90D20" w:rsidRDefault="00B16494" w:rsidP="002F27A9">
            <w:pPr>
              <w:pStyle w:val="Tablerow"/>
            </w:pPr>
            <w:r>
              <w:t>$</w:t>
            </w:r>
            <w:r w:rsidR="00E50465" w:rsidRPr="00F90D20">
              <w:t>3,118</w:t>
            </w:r>
            <w:r>
              <w:t xml:space="preserve"> million</w:t>
            </w:r>
          </w:p>
        </w:tc>
      </w:tr>
      <w:tr w:rsidR="003A137D" w:rsidRPr="00F90D20" w:rsidTr="00402A2A">
        <w:trPr>
          <w:trHeight w:val="232"/>
        </w:trPr>
        <w:tc>
          <w:tcPr>
            <w:tcW w:w="5245" w:type="dxa"/>
            <w:hideMark/>
          </w:tcPr>
          <w:p w:rsidR="003A137D" w:rsidRPr="00F90D20" w:rsidRDefault="003A137D" w:rsidP="002F27A9">
            <w:pPr>
              <w:pStyle w:val="Tablerow"/>
            </w:pPr>
            <w:r w:rsidRPr="00F90D20">
              <w:t xml:space="preserve">Production </w:t>
            </w:r>
            <w:r w:rsidR="003A604A" w:rsidRPr="00F90D20">
              <w:t>c</w:t>
            </w:r>
            <w:r w:rsidRPr="00F90D20">
              <w:t>osts</w:t>
            </w:r>
            <w:r w:rsidR="003A604A" w:rsidRPr="00F90D20">
              <w:t>—</w:t>
            </w:r>
            <w:r w:rsidRPr="00F90D20">
              <w:t>FCA</w:t>
            </w:r>
          </w:p>
        </w:tc>
        <w:tc>
          <w:tcPr>
            <w:tcW w:w="1559" w:type="dxa"/>
            <w:hideMark/>
          </w:tcPr>
          <w:p w:rsidR="003A137D" w:rsidRPr="00F90D20" w:rsidRDefault="00B16494" w:rsidP="002F27A9">
            <w:pPr>
              <w:pStyle w:val="Tablerow"/>
            </w:pPr>
            <w:r>
              <w:t>$</w:t>
            </w:r>
            <w:r w:rsidR="00A118DB" w:rsidRPr="00F90D20">
              <w:t>528</w:t>
            </w:r>
            <w:r>
              <w:t xml:space="preserve"> million</w:t>
            </w:r>
          </w:p>
        </w:tc>
      </w:tr>
      <w:tr w:rsidR="003A137D" w:rsidRPr="00F90D20" w:rsidTr="00402A2A">
        <w:trPr>
          <w:trHeight w:val="174"/>
        </w:trPr>
        <w:tc>
          <w:tcPr>
            <w:tcW w:w="5245" w:type="dxa"/>
            <w:hideMark/>
          </w:tcPr>
          <w:p w:rsidR="003A137D" w:rsidRPr="00F90D20" w:rsidRDefault="003A137D" w:rsidP="002F27A9">
            <w:pPr>
              <w:pStyle w:val="Tablerow"/>
            </w:pPr>
            <w:r w:rsidRPr="00F90D20">
              <w:t>Leisure</w:t>
            </w:r>
            <w:r w:rsidR="003A604A" w:rsidRPr="00F90D20">
              <w:t>-</w:t>
            </w:r>
            <w:r w:rsidRPr="00F90D20">
              <w:t>based production</w:t>
            </w:r>
          </w:p>
        </w:tc>
        <w:tc>
          <w:tcPr>
            <w:tcW w:w="1559" w:type="dxa"/>
            <w:hideMark/>
          </w:tcPr>
          <w:p w:rsidR="003A137D" w:rsidRPr="00F90D20" w:rsidRDefault="00B16494" w:rsidP="002F27A9">
            <w:pPr>
              <w:pStyle w:val="Tablerow"/>
            </w:pPr>
            <w:r>
              <w:t>$</w:t>
            </w:r>
            <w:r w:rsidR="003A137D" w:rsidRPr="00F90D20">
              <w:t>148</w:t>
            </w:r>
            <w:r>
              <w:t xml:space="preserve"> million</w:t>
            </w:r>
          </w:p>
        </w:tc>
      </w:tr>
      <w:tr w:rsidR="003A137D" w:rsidRPr="00F90D20" w:rsidTr="00402A2A">
        <w:trPr>
          <w:trHeight w:val="250"/>
        </w:trPr>
        <w:tc>
          <w:tcPr>
            <w:tcW w:w="5245" w:type="dxa"/>
            <w:hideMark/>
          </w:tcPr>
          <w:p w:rsidR="003A137D" w:rsidRPr="00F90D20" w:rsidRDefault="003A137D" w:rsidP="002F27A9">
            <w:pPr>
              <w:pStyle w:val="Tablerow"/>
            </w:pPr>
            <w:r w:rsidRPr="00F90D20">
              <w:t>Home</w:t>
            </w:r>
            <w:r w:rsidR="003A604A" w:rsidRPr="00F90D20">
              <w:t>-</w:t>
            </w:r>
            <w:r w:rsidRPr="00F90D20">
              <w:t>based production</w:t>
            </w:r>
          </w:p>
        </w:tc>
        <w:tc>
          <w:tcPr>
            <w:tcW w:w="1559" w:type="dxa"/>
            <w:hideMark/>
          </w:tcPr>
          <w:p w:rsidR="003A137D" w:rsidRPr="00F90D20" w:rsidRDefault="00B16494" w:rsidP="002F27A9">
            <w:pPr>
              <w:pStyle w:val="Tablerow"/>
            </w:pPr>
            <w:r>
              <w:t>$</w:t>
            </w:r>
            <w:r w:rsidR="003A137D" w:rsidRPr="00F90D20">
              <w:t>123</w:t>
            </w:r>
            <w:r>
              <w:t xml:space="preserve"> million</w:t>
            </w:r>
          </w:p>
        </w:tc>
      </w:tr>
    </w:tbl>
    <w:p w:rsidR="007C0708" w:rsidRDefault="007C0708" w:rsidP="002F27A9"/>
    <w:p w:rsidR="00D55005" w:rsidRPr="00500F57" w:rsidRDefault="00BB1DCD" w:rsidP="002F27A9">
      <w:r w:rsidRPr="00500F57">
        <w:t>While the above estimates are siz</w:t>
      </w:r>
      <w:r w:rsidR="00500F57">
        <w:t>e</w:t>
      </w:r>
      <w:r w:rsidRPr="00500F57">
        <w:t xml:space="preserve">able in their own right, they </w:t>
      </w:r>
      <w:r w:rsidR="003A604A">
        <w:t xml:space="preserve">are </w:t>
      </w:r>
      <w:r w:rsidRPr="00500F57">
        <w:t xml:space="preserve">likely </w:t>
      </w:r>
      <w:r w:rsidR="003A604A">
        <w:t xml:space="preserve">to </w:t>
      </w:r>
      <w:r w:rsidR="00DF4A9C" w:rsidRPr="00500F57">
        <w:t>understate the</w:t>
      </w:r>
      <w:r w:rsidRPr="00500F57">
        <w:t xml:space="preserve"> avoided healthcare and</w:t>
      </w:r>
      <w:r w:rsidR="00675A04" w:rsidRPr="00500F57">
        <w:t xml:space="preserve"> production</w:t>
      </w:r>
      <w:r w:rsidR="00DF4A9C" w:rsidRPr="00500F57">
        <w:t xml:space="preserve"> impacts of </w:t>
      </w:r>
      <w:r w:rsidR="003D58E4" w:rsidRPr="00500F57">
        <w:t xml:space="preserve">insufficient </w:t>
      </w:r>
      <w:r w:rsidRPr="00500F57">
        <w:t>physical</w:t>
      </w:r>
      <w:r w:rsidR="003A604A">
        <w:t xml:space="preserve"> activity</w:t>
      </w:r>
      <w:r w:rsidRPr="00500F57">
        <w:t xml:space="preserve"> </w:t>
      </w:r>
      <w:r w:rsidR="00DF4A9C" w:rsidRPr="00500F57">
        <w:t xml:space="preserve">for </w:t>
      </w:r>
      <w:r w:rsidRPr="00500F57">
        <w:t>one or more of the following reasons</w:t>
      </w:r>
      <w:r w:rsidR="00DF4A9C" w:rsidRPr="00500F57">
        <w:t>:</w:t>
      </w:r>
    </w:p>
    <w:p w:rsidR="00BB1DCD" w:rsidRPr="00500F57" w:rsidRDefault="003A604A" w:rsidP="002F27A9">
      <w:pPr>
        <w:pStyle w:val="ListParagraph"/>
      </w:pPr>
      <w:r>
        <w:t>T</w:t>
      </w:r>
      <w:r w:rsidR="00DF4A9C" w:rsidRPr="00500F57">
        <w:t>he</w:t>
      </w:r>
      <w:r w:rsidR="00BB1DCD" w:rsidRPr="00500F57">
        <w:t xml:space="preserve"> productivity estimates do not</w:t>
      </w:r>
      <w:r w:rsidR="005404CC" w:rsidRPr="00500F57">
        <w:t xml:space="preserve"> include the economic cost of </w:t>
      </w:r>
      <w:proofErr w:type="spellStart"/>
      <w:r w:rsidR="005404CC" w:rsidRPr="00500F57">
        <w:t>presenteeism</w:t>
      </w:r>
      <w:proofErr w:type="spellEnd"/>
      <w:r w:rsidR="005404CC" w:rsidRPr="00500F57">
        <w:t>.</w:t>
      </w:r>
    </w:p>
    <w:p w:rsidR="00D55005" w:rsidRPr="00500F57" w:rsidRDefault="003A604A" w:rsidP="002F27A9">
      <w:pPr>
        <w:pStyle w:val="ListParagraph"/>
      </w:pPr>
      <w:r>
        <w:lastRenderedPageBreak/>
        <w:t>T</w:t>
      </w:r>
      <w:r w:rsidR="00047C15" w:rsidRPr="00500F57">
        <w:t>he avoided healthcare and production e</w:t>
      </w:r>
      <w:r w:rsidR="00BC2842" w:rsidRPr="00500F57">
        <w:t>stimates are based on five major non-communicable diseases out of the 2</w:t>
      </w:r>
      <w:r w:rsidR="00D55005" w:rsidRPr="00500F57">
        <w:t>2 d</w:t>
      </w:r>
      <w:r w:rsidR="00BC2842" w:rsidRPr="00500F57">
        <w:t>iseases and conditions documented to be associated with physical inactivity</w:t>
      </w:r>
      <w:r>
        <w:t>,</w:t>
      </w:r>
      <w:r w:rsidR="00BC2842" w:rsidRPr="00500F57">
        <w:t xml:space="preserve"> based on moderate to strong evidence.</w:t>
      </w:r>
    </w:p>
    <w:p w:rsidR="00BC2842" w:rsidRPr="00500F57" w:rsidRDefault="003A604A" w:rsidP="002F27A9">
      <w:pPr>
        <w:pStyle w:val="ListParagraph"/>
      </w:pPr>
      <w:r>
        <w:t>I</w:t>
      </w:r>
      <w:r w:rsidR="00BC2842" w:rsidRPr="00500F57">
        <w:t xml:space="preserve">t is uncertain how disease prevalence, </w:t>
      </w:r>
      <w:r w:rsidRPr="003A604A">
        <w:t>population attributable fraction</w:t>
      </w:r>
      <w:r>
        <w:t>s</w:t>
      </w:r>
      <w:r w:rsidR="00BC2842" w:rsidRPr="00500F57">
        <w:t>, heal</w:t>
      </w:r>
      <w:r w:rsidR="00675A04" w:rsidRPr="00500F57">
        <w:t>thcare costs, employment and GS</w:t>
      </w:r>
      <w:r w:rsidR="00BC2842" w:rsidRPr="00500F57">
        <w:t>P wi</w:t>
      </w:r>
      <w:r w:rsidR="00047C15" w:rsidRPr="00500F57">
        <w:t>ll change over time for the 2016</w:t>
      </w:r>
      <w:r w:rsidR="00675A04" w:rsidRPr="00500F57">
        <w:t xml:space="preserve"> population. T</w:t>
      </w:r>
      <w:r w:rsidR="00BC2842" w:rsidRPr="00500F57">
        <w:t xml:space="preserve">his uncertainty </w:t>
      </w:r>
      <w:r w:rsidR="001163F1">
        <w:t xml:space="preserve">would </w:t>
      </w:r>
      <w:r w:rsidR="00BC2842" w:rsidRPr="00500F57">
        <w:t>multipl</w:t>
      </w:r>
      <w:r w:rsidR="001163F1">
        <w:t>y</w:t>
      </w:r>
      <w:r w:rsidR="00BC2842" w:rsidRPr="00500F57">
        <w:t xml:space="preserve"> if the analyses were to be extended to future generations. Further, there is a lack of agreement </w:t>
      </w:r>
      <w:r w:rsidR="001163F1">
        <w:t>on</w:t>
      </w:r>
      <w:r w:rsidR="001163F1" w:rsidRPr="00500F57">
        <w:t xml:space="preserve"> </w:t>
      </w:r>
      <w:r w:rsidR="00BC2842" w:rsidRPr="00500F57">
        <w:t>an appropriate discount rate to generate the net present value of future costs, especially for future generations.</w:t>
      </w:r>
    </w:p>
    <w:p w:rsidR="00BC2842" w:rsidRPr="00500F57" w:rsidRDefault="001163F1" w:rsidP="002F27A9">
      <w:pPr>
        <w:pStyle w:val="ListParagraph"/>
      </w:pPr>
      <w:r>
        <w:t>T</w:t>
      </w:r>
      <w:r w:rsidR="00047C15" w:rsidRPr="00500F57">
        <w:t>he avoided h</w:t>
      </w:r>
      <w:r w:rsidR="00BC2842" w:rsidRPr="00500F57">
        <w:t>ealth</w:t>
      </w:r>
      <w:r w:rsidR="00047C15" w:rsidRPr="00500F57">
        <w:t>care cost</w:t>
      </w:r>
      <w:r>
        <w:t>s</w:t>
      </w:r>
      <w:r w:rsidR="00047C15" w:rsidRPr="00500F57">
        <w:t xml:space="preserve"> are</w:t>
      </w:r>
      <w:r w:rsidR="00BC2842" w:rsidRPr="00500F57">
        <w:t xml:space="preserve"> </w:t>
      </w:r>
      <w:r>
        <w:t xml:space="preserve">the </w:t>
      </w:r>
      <w:r w:rsidR="00BC2842" w:rsidRPr="00500F57">
        <w:t xml:space="preserve">operating </w:t>
      </w:r>
      <w:r w:rsidR="00047C15" w:rsidRPr="00500F57">
        <w:t>expenditure</w:t>
      </w:r>
      <w:r w:rsidR="00BC2842" w:rsidRPr="00500F57">
        <w:t xml:space="preserve"> </w:t>
      </w:r>
      <w:r w:rsidR="00675A04" w:rsidRPr="00500F57">
        <w:t>of the Victorian healthcare system only</w:t>
      </w:r>
      <w:r w:rsidR="00F70001" w:rsidRPr="00500F57">
        <w:t xml:space="preserve">; they </w:t>
      </w:r>
      <w:r w:rsidR="00675A04" w:rsidRPr="00500F57">
        <w:t>do not include expenditures for the whole healthcare system</w:t>
      </w:r>
      <w:r>
        <w:t xml:space="preserve"> or</w:t>
      </w:r>
      <w:r w:rsidR="00047C15" w:rsidRPr="00500F57">
        <w:t xml:space="preserve"> future </w:t>
      </w:r>
      <w:r w:rsidR="00BC2842" w:rsidRPr="00500F57">
        <w:t xml:space="preserve">avoided capital augmentation </w:t>
      </w:r>
      <w:r w:rsidR="00047C15" w:rsidRPr="00500F57">
        <w:t>that would be required as the population and incidence of disease, DALY</w:t>
      </w:r>
      <w:r>
        <w:t>s</w:t>
      </w:r>
      <w:r w:rsidR="00047C15" w:rsidRPr="00500F57">
        <w:t xml:space="preserve"> and death</w:t>
      </w:r>
      <w:r>
        <w:t>s</w:t>
      </w:r>
      <w:r w:rsidR="00047C15" w:rsidRPr="00500F57">
        <w:t xml:space="preserve"> attributable to physical inactivity increase</w:t>
      </w:r>
      <w:r w:rsidR="00087FA1" w:rsidRPr="00500F57">
        <w:t>.</w:t>
      </w:r>
    </w:p>
    <w:p w:rsidR="00CA4D17" w:rsidRPr="00F90D20" w:rsidRDefault="001163F1" w:rsidP="002F27A9">
      <w:pPr>
        <w:pStyle w:val="ListParagraph"/>
      </w:pPr>
      <w:r>
        <w:t>T</w:t>
      </w:r>
      <w:r w:rsidR="00047C15" w:rsidRPr="00500F57">
        <w:t>he evaluation is limited to</w:t>
      </w:r>
      <w:r w:rsidR="00BC53F1" w:rsidRPr="00500F57">
        <w:t xml:space="preserve"> </w:t>
      </w:r>
      <w:r w:rsidR="00087FA1" w:rsidRPr="00500F57">
        <w:t>Victorians aged</w:t>
      </w:r>
      <w:r w:rsidR="00047C15" w:rsidRPr="00500F57">
        <w:t xml:space="preserve"> 1</w:t>
      </w:r>
      <w:r w:rsidR="00D55005" w:rsidRPr="00500F57">
        <w:t>5 y</w:t>
      </w:r>
      <w:r w:rsidR="00047C15" w:rsidRPr="00500F57">
        <w:t>ears and over.</w:t>
      </w:r>
    </w:p>
    <w:p w:rsidR="000E1092" w:rsidRPr="00500F57" w:rsidRDefault="000E1092" w:rsidP="002F27A9">
      <w:pPr>
        <w:pStyle w:val="Heading2"/>
      </w:pPr>
      <w:r w:rsidRPr="00500F57">
        <w:t>Recreation benefit values</w:t>
      </w:r>
    </w:p>
    <w:p w:rsidR="000E1092" w:rsidRPr="00500F57" w:rsidRDefault="000E1092" w:rsidP="002F27A9">
      <w:r w:rsidRPr="00500F57">
        <w:t xml:space="preserve">People obtain benefits from </w:t>
      </w:r>
      <w:r w:rsidR="00675A04" w:rsidRPr="00500F57">
        <w:t xml:space="preserve">active recreation </w:t>
      </w:r>
      <w:r w:rsidRPr="00500F57">
        <w:t>over and above how much they pay to do th</w:t>
      </w:r>
      <w:r w:rsidR="001163F1">
        <w:t>o</w:t>
      </w:r>
      <w:r w:rsidRPr="00500F57">
        <w:t>se activities.</w:t>
      </w:r>
      <w:r w:rsidR="00D55005" w:rsidRPr="00500F57">
        <w:t xml:space="preserve"> </w:t>
      </w:r>
      <w:r w:rsidRPr="00500F57">
        <w:t xml:space="preserve">Economists call the difference between the maximum amount that consumers are willing to pay for </w:t>
      </w:r>
      <w:r w:rsidR="002A730D" w:rsidRPr="00500F57">
        <w:t xml:space="preserve">active recreation </w:t>
      </w:r>
      <w:r w:rsidRPr="00500F57">
        <w:t xml:space="preserve">activities and what they actually have to pay </w:t>
      </w:r>
      <w:r w:rsidR="001163F1">
        <w:t>the ‘</w:t>
      </w:r>
      <w:r w:rsidRPr="00500F57">
        <w:t>consumer surplus</w:t>
      </w:r>
      <w:r w:rsidR="001163F1">
        <w:t>’</w:t>
      </w:r>
      <w:r w:rsidRPr="00500F57">
        <w:t>.</w:t>
      </w:r>
      <w:r w:rsidR="00D55005" w:rsidRPr="00500F57">
        <w:t xml:space="preserve"> </w:t>
      </w:r>
      <w:r w:rsidRPr="00500F57">
        <w:t>Consumer surplus is a direct measure of welfare contribution.</w:t>
      </w:r>
    </w:p>
    <w:p w:rsidR="00D55005" w:rsidRPr="00500F57" w:rsidRDefault="000E1092" w:rsidP="002F27A9">
      <w:r w:rsidRPr="00500F57">
        <w:t>For example, if the maximum amount a Vic</w:t>
      </w:r>
      <w:r w:rsidR="00675A04" w:rsidRPr="00500F57">
        <w:t xml:space="preserve">torian is willing to pay for active recreation </w:t>
      </w:r>
      <w:r w:rsidRPr="00500F57">
        <w:t>is $9</w:t>
      </w:r>
      <w:r w:rsidR="00D55005" w:rsidRPr="00500F57">
        <w:t>0 p</w:t>
      </w:r>
      <w:r w:rsidRPr="00500F57">
        <w:t xml:space="preserve">er day </w:t>
      </w:r>
      <w:r w:rsidR="001163F1">
        <w:t>(</w:t>
      </w:r>
      <w:r w:rsidRPr="00500F57">
        <w:t>including all trip and equipment expenditure</w:t>
      </w:r>
      <w:r w:rsidR="001163F1">
        <w:t>)</w:t>
      </w:r>
      <w:r w:rsidRPr="00500F57">
        <w:t xml:space="preserve"> and the amount they have to pay is only $50</w:t>
      </w:r>
      <w:r w:rsidR="001163F1">
        <w:t>,</w:t>
      </w:r>
      <w:r w:rsidRPr="00500F57">
        <w:t xml:space="preserve"> then th</w:t>
      </w:r>
      <w:r w:rsidR="001163F1">
        <w:t>at</w:t>
      </w:r>
      <w:r w:rsidRPr="00500F57">
        <w:t xml:space="preserve"> person gets a consumer surplus of $40.</w:t>
      </w:r>
      <w:r w:rsidR="00D55005" w:rsidRPr="00500F57">
        <w:t xml:space="preserve"> </w:t>
      </w:r>
      <w:r w:rsidRPr="00500F57">
        <w:t xml:space="preserve">Even though this $40 consumer surplus does not get exchanged through any marketplace transaction, </w:t>
      </w:r>
      <w:r w:rsidR="001163F1">
        <w:t>it</w:t>
      </w:r>
      <w:r w:rsidRPr="00500F57">
        <w:t xml:space="preserve"> is a benefit that should be counted in economic analysis, and is also central to the individual’s decision to do </w:t>
      </w:r>
      <w:r w:rsidR="00675A04" w:rsidRPr="00500F57">
        <w:t>the active recreation in the first place</w:t>
      </w:r>
      <w:r w:rsidRPr="00500F57">
        <w:t>.</w:t>
      </w:r>
    </w:p>
    <w:p w:rsidR="00D55005" w:rsidRPr="00737DF6" w:rsidRDefault="000E1092" w:rsidP="00737DF6">
      <w:pPr>
        <w:pStyle w:val="Caption"/>
      </w:pPr>
      <w:r w:rsidRPr="00737DF6">
        <w:t>We estimate that the value of</w:t>
      </w:r>
      <w:r w:rsidR="001602A3" w:rsidRPr="00737DF6">
        <w:t xml:space="preserve"> active</w:t>
      </w:r>
      <w:r w:rsidRPr="00737DF6">
        <w:t xml:space="preserve"> recreation (</w:t>
      </w:r>
      <w:r w:rsidR="008402A3" w:rsidRPr="00737DF6">
        <w:t xml:space="preserve">the </w:t>
      </w:r>
      <w:r w:rsidRPr="00737DF6">
        <w:t>consumer surplus) to Victorians is in the order of $</w:t>
      </w:r>
      <w:r w:rsidR="001602A3" w:rsidRPr="00737DF6">
        <w:t>3.</w:t>
      </w:r>
      <w:r w:rsidR="005F3037" w:rsidRPr="00737DF6">
        <w:t>8 </w:t>
      </w:r>
      <w:r w:rsidR="00D55005" w:rsidRPr="00737DF6">
        <w:t>b</w:t>
      </w:r>
      <w:r w:rsidRPr="00737DF6">
        <w:t>illion each year.</w:t>
      </w:r>
      <w:r w:rsidR="00D55005" w:rsidRPr="00737DF6">
        <w:t xml:space="preserve"> </w:t>
      </w:r>
      <w:r w:rsidRPr="00737DF6">
        <w:t xml:space="preserve">This estimate is based on the number of </w:t>
      </w:r>
      <w:r w:rsidR="001602A3" w:rsidRPr="00737DF6">
        <w:t>active recreation</w:t>
      </w:r>
      <w:r w:rsidRPr="00737DF6">
        <w:t xml:space="preserve"> participation days in Victoria each year</w:t>
      </w:r>
      <w:r w:rsidR="0034748A" w:rsidRPr="00737DF6">
        <w:t xml:space="preserve"> </w:t>
      </w:r>
      <w:r w:rsidR="00737DF6" w:rsidRPr="00737DF6">
        <w:t xml:space="preserve">(Table 12) </w:t>
      </w:r>
      <w:r w:rsidRPr="00737DF6">
        <w:t xml:space="preserve">and estimates from Australian and international literature </w:t>
      </w:r>
      <w:r w:rsidR="0031617D" w:rsidRPr="00737DF6">
        <w:t>on the consumer surplus value of</w:t>
      </w:r>
      <w:r w:rsidRPr="00737DF6">
        <w:t xml:space="preserve"> </w:t>
      </w:r>
      <w:r w:rsidR="00675A04" w:rsidRPr="00737DF6">
        <w:t>active recreation.</w:t>
      </w:r>
    </w:p>
    <w:p w:rsidR="00CA4D17" w:rsidRPr="004C45F9" w:rsidRDefault="000E1092" w:rsidP="002F27A9">
      <w:r w:rsidRPr="00500F57">
        <w:t>A</w:t>
      </w:r>
      <w:r w:rsidR="001163F1">
        <w:t>ppendix </w:t>
      </w:r>
      <w:r w:rsidR="00675A04" w:rsidRPr="00500F57">
        <w:t>C</w:t>
      </w:r>
      <w:r w:rsidRPr="00500F57">
        <w:t xml:space="preserve"> discusses our estima</w:t>
      </w:r>
      <w:r w:rsidR="00675A04" w:rsidRPr="00500F57">
        <w:t>tion approach in more detail.</w:t>
      </w:r>
      <w:r w:rsidR="00D55005" w:rsidRPr="00500F57">
        <w:t xml:space="preserve"> </w:t>
      </w:r>
      <w:r w:rsidR="00D90DB9">
        <w:t>Note</w:t>
      </w:r>
      <w:r w:rsidR="003448E0" w:rsidRPr="00500F57">
        <w:t xml:space="preserve"> that</w:t>
      </w:r>
      <w:r w:rsidR="00D90DB9">
        <w:t>,</w:t>
      </w:r>
      <w:r w:rsidR="003448E0" w:rsidRPr="00500F57">
        <w:t xml:space="preserve"> because of the way the recreation benefit is calculated</w:t>
      </w:r>
      <w:r w:rsidR="00D90DB9">
        <w:t>,</w:t>
      </w:r>
      <w:r w:rsidR="003448E0" w:rsidRPr="00500F57">
        <w:t xml:space="preserve"> it cannot be added together with the leisure</w:t>
      </w:r>
      <w:r w:rsidR="001163F1">
        <w:t>-</w:t>
      </w:r>
      <w:r w:rsidR="003448E0" w:rsidRPr="00500F57">
        <w:t>based production estimates generated with the RFI model.</w:t>
      </w:r>
      <w:bookmarkStart w:id="77" w:name="_Toc431564047"/>
      <w:bookmarkStart w:id="78" w:name="_Toc477964695"/>
    </w:p>
    <w:p w:rsidR="004C45F9" w:rsidRDefault="004C45F9" w:rsidP="002F27A9">
      <w:pPr>
        <w:rPr>
          <w:rFonts w:eastAsia="Lato Light"/>
          <w:color w:val="262626" w:themeColor="text1" w:themeTint="D9"/>
          <w:spacing w:val="-1"/>
          <w:sz w:val="60"/>
          <w:szCs w:val="60"/>
        </w:rPr>
      </w:pPr>
      <w:r>
        <w:br w:type="page"/>
      </w:r>
    </w:p>
    <w:p w:rsidR="0042485C" w:rsidRPr="00500F57" w:rsidRDefault="0042485C" w:rsidP="002F27A9">
      <w:pPr>
        <w:pStyle w:val="Heading1"/>
      </w:pPr>
      <w:bookmarkStart w:id="79" w:name="_Toc516050183"/>
      <w:r w:rsidRPr="00500F57">
        <w:lastRenderedPageBreak/>
        <w:t>Unquantified impacts</w:t>
      </w:r>
      <w:bookmarkEnd w:id="77"/>
      <w:bookmarkEnd w:id="78"/>
      <w:bookmarkEnd w:id="79"/>
    </w:p>
    <w:p w:rsidR="0042485C" w:rsidRPr="00500F57" w:rsidRDefault="00FE1B81" w:rsidP="002F27A9">
      <w:pPr>
        <w:pStyle w:val="Heading2"/>
      </w:pPr>
      <w:r w:rsidRPr="00500F57">
        <w:t xml:space="preserve">Social cohesion </w:t>
      </w:r>
      <w:r w:rsidR="00B208A7" w:rsidRPr="00500F57">
        <w:t>and education</w:t>
      </w:r>
    </w:p>
    <w:p w:rsidR="00D55005" w:rsidRPr="00500F57" w:rsidRDefault="005404CC" w:rsidP="002F27A9">
      <w:r w:rsidRPr="00500F57">
        <w:t>We know that active</w:t>
      </w:r>
      <w:r w:rsidR="003448E0" w:rsidRPr="00500F57">
        <w:t xml:space="preserve"> recreation</w:t>
      </w:r>
      <w:r w:rsidR="009922B2" w:rsidRPr="00500F57">
        <w:t xml:space="preserve"> can</w:t>
      </w:r>
      <w:r w:rsidR="000A7C1B" w:rsidRPr="00500F57">
        <w:t xml:space="preserve"> help to develop positive relationships </w:t>
      </w:r>
      <w:r w:rsidR="0023082F" w:rsidRPr="00500F57">
        <w:t>among</w:t>
      </w:r>
      <w:r w:rsidR="000A7C1B" w:rsidRPr="00500F57">
        <w:t xml:space="preserve"> community members and that this can increase mental and personal wellbeing, as well as feelings of community connection</w:t>
      </w:r>
      <w:r w:rsidR="00B34C17">
        <w:t xml:space="preserve"> (VicHealth, 2016)</w:t>
      </w:r>
      <w:r w:rsidR="009922B2" w:rsidRPr="00500F57">
        <w:t>.</w:t>
      </w:r>
      <w:r w:rsidR="00D55005" w:rsidRPr="00500F57">
        <w:t xml:space="preserve"> </w:t>
      </w:r>
      <w:r w:rsidR="000A7C1B" w:rsidRPr="00500F57">
        <w:t xml:space="preserve">Many, but not all, of the benefits of social cohesion </w:t>
      </w:r>
      <w:r w:rsidR="001163F1">
        <w:t>are</w:t>
      </w:r>
      <w:r w:rsidR="000A7C1B" w:rsidRPr="00500F57">
        <w:t xml:space="preserve"> reflected in the welfare contribution values discussed in the </w:t>
      </w:r>
      <w:r w:rsidR="001163F1">
        <w:t>previous</w:t>
      </w:r>
      <w:r w:rsidR="001163F1" w:rsidRPr="00500F57">
        <w:t xml:space="preserve"> </w:t>
      </w:r>
      <w:r w:rsidR="000A7C1B" w:rsidRPr="00500F57">
        <w:t>section</w:t>
      </w:r>
      <w:r w:rsidR="001163F1">
        <w:t xml:space="preserve"> (</w:t>
      </w:r>
      <w:r w:rsidR="000A7C1B" w:rsidRPr="00500F57">
        <w:t>for example</w:t>
      </w:r>
      <w:r w:rsidR="001163F1">
        <w:t>,</w:t>
      </w:r>
      <w:r w:rsidR="000A7C1B" w:rsidRPr="00500F57">
        <w:t xml:space="preserve"> through improved health and wellbeing, lower absenteeism and </w:t>
      </w:r>
      <w:proofErr w:type="spellStart"/>
      <w:r w:rsidR="000A7C1B" w:rsidRPr="00500F57">
        <w:t>presenteeism</w:t>
      </w:r>
      <w:proofErr w:type="spellEnd"/>
      <w:r w:rsidR="000A7C1B" w:rsidRPr="00500F57">
        <w:t xml:space="preserve"> rates, and the recreation consumer surplus</w:t>
      </w:r>
      <w:r w:rsidR="001163F1">
        <w:t>)</w:t>
      </w:r>
      <w:r w:rsidR="00170A67" w:rsidRPr="00500F57">
        <w:t>. To avoid the risk of double counting</w:t>
      </w:r>
      <w:r w:rsidR="001163F1">
        <w:t>,</w:t>
      </w:r>
      <w:r w:rsidR="000A7C1B" w:rsidRPr="00500F57">
        <w:t xml:space="preserve"> we d</w:t>
      </w:r>
      <w:r w:rsidR="001163F1">
        <w:t>id not</w:t>
      </w:r>
      <w:r w:rsidR="000A7C1B" w:rsidRPr="00500F57">
        <w:t xml:space="preserve"> attempt to parcel out a separate welfare contribution for th</w:t>
      </w:r>
      <w:r w:rsidR="001163F1">
        <w:t>o</w:t>
      </w:r>
      <w:r w:rsidR="000A7C1B" w:rsidRPr="00500F57">
        <w:t>se impacts.</w:t>
      </w:r>
    </w:p>
    <w:p w:rsidR="00D55005" w:rsidRPr="00500F57" w:rsidRDefault="000A7C1B" w:rsidP="002F27A9">
      <w:r w:rsidRPr="00500F57">
        <w:t xml:space="preserve">There are likely to be benefits from </w:t>
      </w:r>
      <w:r w:rsidR="003448E0" w:rsidRPr="00500F57">
        <w:t xml:space="preserve">active recreation </w:t>
      </w:r>
      <w:r w:rsidRPr="00500F57">
        <w:t xml:space="preserve">that extend beyond </w:t>
      </w:r>
      <w:r w:rsidR="006F6088" w:rsidRPr="00500F57">
        <w:t xml:space="preserve">the </w:t>
      </w:r>
      <w:r w:rsidRPr="00500F57">
        <w:t>health</w:t>
      </w:r>
      <w:r w:rsidR="00D90DB9">
        <w:t>,</w:t>
      </w:r>
      <w:r w:rsidRPr="00500F57">
        <w:t xml:space="preserve"> wellbeing and labour productivity benefits</w:t>
      </w:r>
      <w:r w:rsidR="006F6088" w:rsidRPr="00500F57">
        <w:t xml:space="preserve"> we estimated in the </w:t>
      </w:r>
      <w:r w:rsidR="001163F1">
        <w:t>previous</w:t>
      </w:r>
      <w:r w:rsidR="001163F1" w:rsidRPr="00500F57">
        <w:t xml:space="preserve"> </w:t>
      </w:r>
      <w:r w:rsidR="006F6088" w:rsidRPr="00500F57">
        <w:t>section</w:t>
      </w:r>
      <w:r w:rsidRPr="00500F57">
        <w:t>:</w:t>
      </w:r>
    </w:p>
    <w:p w:rsidR="00D55005" w:rsidRPr="00500F57" w:rsidRDefault="001163F1" w:rsidP="002F27A9">
      <w:pPr>
        <w:pStyle w:val="ListParagraph"/>
      </w:pPr>
      <w:r>
        <w:t>M</w:t>
      </w:r>
      <w:r w:rsidR="00B208A7" w:rsidRPr="00500F57">
        <w:t>eta-analyses</w:t>
      </w:r>
      <w:r w:rsidR="00AE1114" w:rsidRPr="00500F57">
        <w:t xml:space="preserve"> show that outdoor education programs </w:t>
      </w:r>
      <w:r w:rsidR="00B208A7" w:rsidRPr="00500F57">
        <w:t>can improve</w:t>
      </w:r>
      <w:r w:rsidR="00AE1114" w:rsidRPr="00500F57">
        <w:t xml:space="preserve"> self-concept and teamwork</w:t>
      </w:r>
      <w:r w:rsidR="006F6088" w:rsidRPr="00500F57">
        <w:t xml:space="preserve"> among primary and secondary school </w:t>
      </w:r>
      <w:r w:rsidR="002A730D" w:rsidRPr="00500F57">
        <w:t>students</w:t>
      </w:r>
      <w:r w:rsidR="00AE1114" w:rsidRPr="00500F57">
        <w:t xml:space="preserve">. </w:t>
      </w:r>
      <w:r w:rsidR="00B208A7" w:rsidRPr="00500F57">
        <w:t xml:space="preserve">Importantly, these positive impacts </w:t>
      </w:r>
      <w:r w:rsidR="00320FEF" w:rsidRPr="00500F57">
        <w:t>often</w:t>
      </w:r>
      <w:r w:rsidR="00B208A7" w:rsidRPr="00500F57">
        <w:t xml:space="preserve"> appear to persist over time</w:t>
      </w:r>
      <w:r w:rsidR="00B34C17">
        <w:t xml:space="preserve"> (Neill, 2008)</w:t>
      </w:r>
      <w:r w:rsidR="002376FC" w:rsidRPr="00500F57">
        <w:t>.</w:t>
      </w:r>
      <w:r w:rsidR="00170A67" w:rsidRPr="00500F57">
        <w:t xml:space="preserve"> </w:t>
      </w:r>
      <w:r w:rsidR="00D90DB9">
        <w:t>For</w:t>
      </w:r>
      <w:r w:rsidR="00D90DB9" w:rsidRPr="00500F57">
        <w:t xml:space="preserve"> </w:t>
      </w:r>
      <w:r w:rsidR="00170A67" w:rsidRPr="00500F57">
        <w:t>primary and secondary school students, the main benefits relate to the development of life effectiveness skills</w:t>
      </w:r>
      <w:r w:rsidR="00B34C17">
        <w:t xml:space="preserve"> (QORF, 2012)</w:t>
      </w:r>
      <w:r w:rsidR="00170A67" w:rsidRPr="00500F57">
        <w:t>, which could translate over time into better workplace performance.</w:t>
      </w:r>
    </w:p>
    <w:p w:rsidR="00D55005" w:rsidRPr="00500F57" w:rsidRDefault="001163F1" w:rsidP="002F27A9">
      <w:pPr>
        <w:pStyle w:val="ListParagraph"/>
      </w:pPr>
      <w:r>
        <w:t>O</w:t>
      </w:r>
      <w:r w:rsidR="002376FC" w:rsidRPr="00500F57">
        <w:t>utdoor therapy and activities ha</w:t>
      </w:r>
      <w:r>
        <w:t>ve</w:t>
      </w:r>
      <w:r w:rsidR="002376FC" w:rsidRPr="00500F57">
        <w:t xml:space="preserve"> been linked to reduced delinquency among </w:t>
      </w:r>
      <w:r>
        <w:t xml:space="preserve">at-risk </w:t>
      </w:r>
      <w:r w:rsidR="002376FC" w:rsidRPr="00500F57">
        <w:t>adolescents</w:t>
      </w:r>
      <w:r w:rsidR="00B34C17">
        <w:t xml:space="preserve"> (Bowen &amp; </w:t>
      </w:r>
      <w:proofErr w:type="spellStart"/>
      <w:r w:rsidR="00B34C17">
        <w:t>Neilla</w:t>
      </w:r>
      <w:proofErr w:type="spellEnd"/>
      <w:r w:rsidR="00B34C17">
        <w:t xml:space="preserve">, </w:t>
      </w:r>
      <w:r w:rsidR="000B2DE4">
        <w:t xml:space="preserve">2013, </w:t>
      </w:r>
      <w:r w:rsidR="00B34C17">
        <w:t>2015)</w:t>
      </w:r>
      <w:r w:rsidR="00320FEF" w:rsidRPr="00500F57">
        <w:t>.</w:t>
      </w:r>
    </w:p>
    <w:p w:rsidR="00320FEF" w:rsidRPr="00500F57" w:rsidRDefault="001163F1" w:rsidP="002F27A9">
      <w:pPr>
        <w:pStyle w:val="ListParagraph"/>
      </w:pPr>
      <w:r>
        <w:t>T</w:t>
      </w:r>
      <w:r w:rsidR="00320FEF" w:rsidRPr="00500F57">
        <w:t xml:space="preserve">he ABS 2006 General Social Survey found that people </w:t>
      </w:r>
      <w:r>
        <w:t xml:space="preserve">aged </w:t>
      </w:r>
      <w:r w:rsidR="00320FEF" w:rsidRPr="00500F57">
        <w:t>18 and over who participated in sport or physical recreation were more likely than others to be volunteer</w:t>
      </w:r>
      <w:r>
        <w:t>s</w:t>
      </w:r>
      <w:r w:rsidR="00320FEF" w:rsidRPr="00500F57">
        <w:t xml:space="preserve"> in some capacity</w:t>
      </w:r>
      <w:r w:rsidR="00B34C17">
        <w:t xml:space="preserve"> (Q</w:t>
      </w:r>
      <w:r w:rsidR="000B2DE4">
        <w:t>ORF</w:t>
      </w:r>
      <w:r w:rsidR="00B34C17">
        <w:t>, 2012)</w:t>
      </w:r>
      <w:r w:rsidR="00320FEF" w:rsidRPr="00500F57">
        <w:t>.</w:t>
      </w:r>
    </w:p>
    <w:p w:rsidR="00787A8C" w:rsidRPr="00610FA4" w:rsidRDefault="001163F1" w:rsidP="002F27A9">
      <w:pPr>
        <w:pStyle w:val="ListParagraph"/>
      </w:pPr>
      <w:r>
        <w:t>T</w:t>
      </w:r>
      <w:r w:rsidR="00B208A7" w:rsidRPr="00500F57">
        <w:t>here is some evidence that outdoor activities contribute towards developing greater</w:t>
      </w:r>
      <w:r w:rsidR="00170A67" w:rsidRPr="00500F57">
        <w:t xml:space="preserve"> </w:t>
      </w:r>
      <w:r w:rsidR="002376FC" w:rsidRPr="00500F57">
        <w:t>environmental awareness and</w:t>
      </w:r>
      <w:r w:rsidR="00F461C1" w:rsidRPr="00500F57">
        <w:t xml:space="preserve"> stewardship.</w:t>
      </w:r>
      <w:r w:rsidR="00D55005" w:rsidRPr="00500F57">
        <w:t xml:space="preserve"> </w:t>
      </w:r>
      <w:r w:rsidR="00170A67" w:rsidRPr="00500F57">
        <w:t>What</w:t>
      </w:r>
      <w:r w:rsidR="002376FC" w:rsidRPr="00500F57">
        <w:t xml:space="preserve"> </w:t>
      </w:r>
      <w:r>
        <w:t>such</w:t>
      </w:r>
      <w:r w:rsidRPr="00500F57">
        <w:t xml:space="preserve"> </w:t>
      </w:r>
      <w:r w:rsidR="002376FC" w:rsidRPr="00500F57">
        <w:t>attitude changes</w:t>
      </w:r>
      <w:r w:rsidR="00F461C1" w:rsidRPr="00500F57">
        <w:t xml:space="preserve"> </w:t>
      </w:r>
      <w:r w:rsidR="00170A67" w:rsidRPr="00500F57">
        <w:t xml:space="preserve">mean </w:t>
      </w:r>
      <w:r w:rsidR="00BE7937" w:rsidRPr="00500F57">
        <w:t>over the longer term for</w:t>
      </w:r>
      <w:r w:rsidR="002376FC" w:rsidRPr="00500F57">
        <w:t xml:space="preserve"> </w:t>
      </w:r>
      <w:r>
        <w:t xml:space="preserve">the </w:t>
      </w:r>
      <w:r w:rsidR="002376FC" w:rsidRPr="00500F57">
        <w:t xml:space="preserve">environment and </w:t>
      </w:r>
      <w:r w:rsidR="00F461C1" w:rsidRPr="00500F57">
        <w:t xml:space="preserve">sustainability </w:t>
      </w:r>
      <w:r w:rsidR="00170A67" w:rsidRPr="00500F57">
        <w:t>have</w:t>
      </w:r>
      <w:r>
        <w:t xml:space="preserve"> </w:t>
      </w:r>
      <w:r w:rsidR="00170A67" w:rsidRPr="00500F57">
        <w:t>n</w:t>
      </w:r>
      <w:r>
        <w:t>o</w:t>
      </w:r>
      <w:r w:rsidR="00170A67" w:rsidRPr="00500F57">
        <w:t xml:space="preserve">t </w:t>
      </w:r>
      <w:r>
        <w:t xml:space="preserve">yet </w:t>
      </w:r>
      <w:r w:rsidR="00170A67" w:rsidRPr="00500F57">
        <w:t>been</w:t>
      </w:r>
      <w:r w:rsidR="00F461C1" w:rsidRPr="00500F57">
        <w:t xml:space="preserve"> examine</w:t>
      </w:r>
      <w:r w:rsidR="009922B2" w:rsidRPr="00500F57">
        <w:t>d through longitudinal research</w:t>
      </w:r>
      <w:r w:rsidR="00B34C17">
        <w:t xml:space="preserve"> (Dickson et al., 2008)</w:t>
      </w:r>
      <w:r w:rsidR="00170A67" w:rsidRPr="00500F57">
        <w:t>.</w:t>
      </w:r>
      <w:bookmarkStart w:id="80" w:name="_Toc477964696"/>
    </w:p>
    <w:p w:rsidR="00D55005" w:rsidRPr="00500F57" w:rsidRDefault="003448E0" w:rsidP="002F27A9">
      <w:pPr>
        <w:pStyle w:val="Heading1"/>
      </w:pPr>
      <w:bookmarkStart w:id="81" w:name="_Toc516050184"/>
      <w:r w:rsidRPr="00500F57">
        <w:lastRenderedPageBreak/>
        <w:t xml:space="preserve">Return on </w:t>
      </w:r>
      <w:r w:rsidR="004739BD" w:rsidRPr="00500F57">
        <w:t>investment</w:t>
      </w:r>
      <w:bookmarkEnd w:id="80"/>
      <w:bookmarkEnd w:id="81"/>
    </w:p>
    <w:p w:rsidR="00D55005" w:rsidRPr="009F0FF4" w:rsidRDefault="00BC2842" w:rsidP="002F27A9">
      <w:pPr>
        <w:rPr>
          <w:rStyle w:val="Emphasis"/>
        </w:rPr>
      </w:pPr>
      <w:r w:rsidRPr="009F0FF4">
        <w:rPr>
          <w:rStyle w:val="Emphasis"/>
        </w:rPr>
        <w:t>Evidence</w:t>
      </w:r>
      <w:r w:rsidR="001163F1" w:rsidRPr="009F0FF4">
        <w:rPr>
          <w:rStyle w:val="Emphasis"/>
        </w:rPr>
        <w:t>-</w:t>
      </w:r>
      <w:r w:rsidRPr="009F0FF4">
        <w:rPr>
          <w:rStyle w:val="Emphasis"/>
        </w:rPr>
        <w:t>based policy and investment decisions need to be informed by an understanding of the economic benefit of the investment</w:t>
      </w:r>
      <w:r w:rsidR="00D55005" w:rsidRPr="009F0FF4">
        <w:rPr>
          <w:rStyle w:val="Emphasis"/>
        </w:rPr>
        <w:t>—</w:t>
      </w:r>
      <w:r w:rsidRPr="009F0FF4">
        <w:rPr>
          <w:rStyle w:val="Emphasis"/>
        </w:rPr>
        <w:t>in short</w:t>
      </w:r>
      <w:r w:rsidR="005379D9" w:rsidRPr="009F0FF4">
        <w:rPr>
          <w:rStyle w:val="Emphasis"/>
        </w:rPr>
        <w:t>,</w:t>
      </w:r>
      <w:r w:rsidRPr="009F0FF4">
        <w:rPr>
          <w:rStyle w:val="Emphasis"/>
        </w:rPr>
        <w:t xml:space="preserve"> ‘</w:t>
      </w:r>
      <w:r w:rsidR="005379D9" w:rsidRPr="009F0FF4">
        <w:rPr>
          <w:rStyle w:val="Emphasis"/>
        </w:rPr>
        <w:t>W</w:t>
      </w:r>
      <w:r w:rsidRPr="009F0FF4">
        <w:rPr>
          <w:rStyle w:val="Emphasis"/>
        </w:rPr>
        <w:t>hat is the return on investment?’</w:t>
      </w:r>
      <w:r w:rsidR="00D55005" w:rsidRPr="009F0FF4">
        <w:rPr>
          <w:rStyle w:val="Emphasis"/>
        </w:rPr>
        <w:t xml:space="preserve"> </w:t>
      </w:r>
      <w:r w:rsidR="004739BD" w:rsidRPr="009F0FF4">
        <w:rPr>
          <w:rStyle w:val="Emphasis"/>
        </w:rPr>
        <w:t>In this section</w:t>
      </w:r>
      <w:r w:rsidR="005379D9" w:rsidRPr="009F0FF4">
        <w:rPr>
          <w:rStyle w:val="Emphasis"/>
        </w:rPr>
        <w:t>,</w:t>
      </w:r>
      <w:r w:rsidR="004739BD" w:rsidRPr="009F0FF4">
        <w:rPr>
          <w:rStyle w:val="Emphasis"/>
        </w:rPr>
        <w:t xml:space="preserve"> we convert estimates from </w:t>
      </w:r>
      <w:r w:rsidR="00154787" w:rsidRPr="009F0FF4">
        <w:rPr>
          <w:rStyle w:val="Emphasis"/>
        </w:rPr>
        <w:t xml:space="preserve">the </w:t>
      </w:r>
      <w:r w:rsidR="004739BD" w:rsidRPr="009F0FF4">
        <w:rPr>
          <w:rStyle w:val="Emphasis"/>
        </w:rPr>
        <w:t xml:space="preserve">Deakin Health Economics </w:t>
      </w:r>
      <w:r w:rsidRPr="009F0FF4">
        <w:rPr>
          <w:rStyle w:val="Emphasis"/>
        </w:rPr>
        <w:t xml:space="preserve">RFI model </w:t>
      </w:r>
      <w:r w:rsidR="004739BD" w:rsidRPr="009F0FF4">
        <w:rPr>
          <w:rStyle w:val="Emphasis"/>
        </w:rPr>
        <w:t>into per person estimates.</w:t>
      </w:r>
    </w:p>
    <w:p w:rsidR="00D96290" w:rsidRDefault="00BC2842" w:rsidP="002F27A9">
      <w:r w:rsidRPr="0085037F">
        <w:t>‘</w:t>
      </w:r>
      <w:r w:rsidR="005379D9" w:rsidRPr="0085037F">
        <w:t>P</w:t>
      </w:r>
      <w:r w:rsidRPr="0085037F">
        <w:t xml:space="preserve">er unit’ measures can be used to evaluate the order of magnitude of the benefit of programs that increase active recreation (or sport) in the 2016 Victorian 15+ year population so that </w:t>
      </w:r>
      <w:r w:rsidR="003D58E4" w:rsidRPr="0085037F">
        <w:t>people</w:t>
      </w:r>
      <w:r w:rsidRPr="0085037F">
        <w:t xml:space="preserve"> become and then remain physically active</w:t>
      </w:r>
      <w:r w:rsidR="00BD2813" w:rsidRPr="0085037F">
        <w:t>.</w:t>
      </w:r>
      <w:r w:rsidR="00D55005" w:rsidRPr="00500F57">
        <w:t xml:space="preserve"> </w:t>
      </w:r>
    </w:p>
    <w:p w:rsidR="00787A8C" w:rsidRPr="00500F57" w:rsidRDefault="00D90DB9" w:rsidP="002F27A9">
      <w:r>
        <w:t>Our</w:t>
      </w:r>
      <w:r w:rsidRPr="00500F57">
        <w:t xml:space="preserve"> </w:t>
      </w:r>
      <w:r w:rsidR="00BD2813" w:rsidRPr="00500F57">
        <w:t>evaluation (</w:t>
      </w:r>
      <w:r w:rsidR="00D96290">
        <w:t>Table 15) shows the following:</w:t>
      </w:r>
    </w:p>
    <w:p w:rsidR="00DF4A9C" w:rsidRPr="00500F57" w:rsidRDefault="005379D9" w:rsidP="002F27A9">
      <w:pPr>
        <w:pStyle w:val="ListParagraph"/>
      </w:pPr>
      <w:r>
        <w:t>F</w:t>
      </w:r>
      <w:r w:rsidR="00BD2813" w:rsidRPr="00500F57">
        <w:t xml:space="preserve">or every </w:t>
      </w:r>
      <w:r w:rsidR="00DF4A9C" w:rsidRPr="00500F57">
        <w:t>10,00</w:t>
      </w:r>
      <w:r w:rsidR="00D55005" w:rsidRPr="00500F57">
        <w:t>0 p</w:t>
      </w:r>
      <w:r w:rsidR="00DF4A9C" w:rsidRPr="00500F57">
        <w:t xml:space="preserve">eople </w:t>
      </w:r>
      <w:r w:rsidR="00BD2813" w:rsidRPr="00500F57">
        <w:t xml:space="preserve">who become </w:t>
      </w:r>
      <w:r w:rsidR="003D58E4" w:rsidRPr="00500F57">
        <w:t xml:space="preserve">physically </w:t>
      </w:r>
      <w:r w:rsidR="00BD2813" w:rsidRPr="00500F57">
        <w:t>active and stay</w:t>
      </w:r>
      <w:r w:rsidR="00DF4A9C" w:rsidRPr="00500F57">
        <w:t xml:space="preserve"> active</w:t>
      </w:r>
      <w:r w:rsidR="00154787" w:rsidRPr="00500F57">
        <w:t>,</w:t>
      </w:r>
      <w:r w:rsidR="00BD2813" w:rsidRPr="00500F57">
        <w:t xml:space="preserve"> Victoria will avoid</w:t>
      </w:r>
      <w:r w:rsidR="005F257E" w:rsidRPr="00500F57">
        <w:t xml:space="preserve"> around </w:t>
      </w:r>
      <w:r w:rsidR="00E70465" w:rsidRPr="00500F57">
        <w:t>26</w:t>
      </w:r>
      <w:r w:rsidR="00D55005" w:rsidRPr="00500F57">
        <w:t>5 D</w:t>
      </w:r>
      <w:r w:rsidR="00E70465" w:rsidRPr="00500F57">
        <w:t>ALYs, 6</w:t>
      </w:r>
      <w:r w:rsidR="00D55005" w:rsidRPr="00500F57">
        <w:t>5 i</w:t>
      </w:r>
      <w:r w:rsidR="00E70465" w:rsidRPr="00500F57">
        <w:t>ncidences of disease and around 1</w:t>
      </w:r>
      <w:r w:rsidR="00D55005" w:rsidRPr="00500F57">
        <w:t>5 d</w:t>
      </w:r>
      <w:r w:rsidR="00E70465" w:rsidRPr="00500F57">
        <w:t>eaths</w:t>
      </w:r>
      <w:r w:rsidR="005F257E" w:rsidRPr="00500F57">
        <w:t xml:space="preserve"> from five major non-communicable diseases directly attributable to physical inactivity.</w:t>
      </w:r>
    </w:p>
    <w:p w:rsidR="004739BD" w:rsidRPr="00500F57" w:rsidRDefault="005379D9" w:rsidP="002F27A9">
      <w:pPr>
        <w:pStyle w:val="ListParagraph"/>
      </w:pPr>
      <w:r>
        <w:t>B</w:t>
      </w:r>
      <w:r w:rsidR="004739BD" w:rsidRPr="00500F57">
        <w:t>ased on available estimates</w:t>
      </w:r>
      <w:r w:rsidR="005F257E" w:rsidRPr="00500F57">
        <w:t xml:space="preserve"> and the RFI model, healthcare cost savings for each</w:t>
      </w:r>
      <w:r w:rsidR="004739BD" w:rsidRPr="00500F57">
        <w:t xml:space="preserve"> person who becomes physically active </w:t>
      </w:r>
      <w:r>
        <w:t>are</w:t>
      </w:r>
      <w:r w:rsidRPr="00500F57">
        <w:t xml:space="preserve"> </w:t>
      </w:r>
      <w:r w:rsidR="004739BD" w:rsidRPr="00500F57">
        <w:t>in the order of $1</w:t>
      </w:r>
      <w:r w:rsidR="003D58E4" w:rsidRPr="00500F57">
        <w:t>00</w:t>
      </w:r>
      <w:r w:rsidR="004739BD" w:rsidRPr="00500F57">
        <w:t xml:space="preserve"> on average over </w:t>
      </w:r>
      <w:r w:rsidR="005F257E" w:rsidRPr="00500F57">
        <w:t xml:space="preserve">their </w:t>
      </w:r>
      <w:r w:rsidR="004739BD" w:rsidRPr="00500F57">
        <w:t>lifetime</w:t>
      </w:r>
      <w:r w:rsidR="00675A04" w:rsidRPr="00500F57">
        <w:t>, measured in 2016 dollars</w:t>
      </w:r>
      <w:r w:rsidR="004739BD" w:rsidRPr="00500F57">
        <w:t xml:space="preserve">. </w:t>
      </w:r>
      <w:r w:rsidR="005F257E" w:rsidRPr="00500F57">
        <w:t>As we note above, this healthcare estimate more likely underestimates than overestimates the true healthcare cost to Victoria for a number of reasons.</w:t>
      </w:r>
    </w:p>
    <w:p w:rsidR="00D55005" w:rsidRPr="00500F57" w:rsidRDefault="005379D9" w:rsidP="002F27A9">
      <w:pPr>
        <w:pStyle w:val="ListParagraph"/>
      </w:pPr>
      <w:r>
        <w:t>Using the HCA, t</w:t>
      </w:r>
      <w:r w:rsidR="005F257E" w:rsidRPr="00500F57">
        <w:t xml:space="preserve">he </w:t>
      </w:r>
      <w:r w:rsidR="003D58E4" w:rsidRPr="00500F57">
        <w:t xml:space="preserve">workplace </w:t>
      </w:r>
      <w:r w:rsidR="005F257E" w:rsidRPr="00500F57">
        <w:t xml:space="preserve">production benefit per person who becomes physically active is </w:t>
      </w:r>
      <w:r>
        <w:t>around</w:t>
      </w:r>
      <w:r w:rsidR="005F257E" w:rsidRPr="00500F57">
        <w:t xml:space="preserve"> $</w:t>
      </w:r>
      <w:r w:rsidR="003D58E4" w:rsidRPr="00500F57">
        <w:t>1</w:t>
      </w:r>
      <w:r w:rsidR="005F257E" w:rsidRPr="00500F57">
        <w:t>,</w:t>
      </w:r>
      <w:r w:rsidR="003D58E4" w:rsidRPr="00500F57">
        <w:t xml:space="preserve">255 </w:t>
      </w:r>
      <w:r w:rsidR="005F257E" w:rsidRPr="00500F57">
        <w:t>over their lifetime, on average</w:t>
      </w:r>
      <w:r>
        <w:t>. Using the FCA, it is</w:t>
      </w:r>
      <w:r w:rsidR="005F257E" w:rsidRPr="00500F57">
        <w:t xml:space="preserve"> $</w:t>
      </w:r>
      <w:r w:rsidR="003D58E4" w:rsidRPr="00500F57">
        <w:t>200</w:t>
      </w:r>
      <w:r w:rsidR="005F257E" w:rsidRPr="00500F57">
        <w:t>.</w:t>
      </w:r>
    </w:p>
    <w:p w:rsidR="00787A8C" w:rsidRDefault="005379D9" w:rsidP="002F27A9">
      <w:pPr>
        <w:pStyle w:val="ListParagraph"/>
      </w:pPr>
      <w:r>
        <w:t>C</w:t>
      </w:r>
      <w:r w:rsidR="002F258F" w:rsidRPr="00500F57">
        <w:t>ombining the avoided health</w:t>
      </w:r>
      <w:r w:rsidR="005E2D68" w:rsidRPr="00500F57">
        <w:t>care</w:t>
      </w:r>
      <w:r w:rsidR="002F258F" w:rsidRPr="00500F57">
        <w:t xml:space="preserve"> and HCA or FCA estimates suggests </w:t>
      </w:r>
      <w:r>
        <w:t xml:space="preserve">that </w:t>
      </w:r>
      <w:r w:rsidR="002F258F" w:rsidRPr="00500F57">
        <w:t xml:space="preserve">permanently shifting one Victorian from the 2016 population aged 15+ from being physically inactive to </w:t>
      </w:r>
      <w:r w:rsidR="00D90DB9">
        <w:t xml:space="preserve">being </w:t>
      </w:r>
      <w:r w:rsidR="002F258F" w:rsidRPr="00500F57">
        <w:t>physically active will deliver present value benefits in</w:t>
      </w:r>
      <w:r w:rsidR="002740FD" w:rsidRPr="00500F57">
        <w:t xml:space="preserve"> the $</w:t>
      </w:r>
      <w:r w:rsidR="003D58E4" w:rsidRPr="00500F57">
        <w:t>300</w:t>
      </w:r>
      <w:r>
        <w:t>–</w:t>
      </w:r>
      <w:r w:rsidR="003D58E4" w:rsidRPr="00500F57">
        <w:t>1</w:t>
      </w:r>
      <w:r w:rsidR="002740FD" w:rsidRPr="00500F57">
        <w:t>,3</w:t>
      </w:r>
      <w:r w:rsidR="003D58E4" w:rsidRPr="00500F57">
        <w:t>50</w:t>
      </w:r>
      <w:r>
        <w:t xml:space="preserve"> range</w:t>
      </w:r>
      <w:r w:rsidR="002F258F" w:rsidRPr="00500F57">
        <w:t xml:space="preserve"> over the individual’s lifetime, on average</w:t>
      </w:r>
      <w:r w:rsidR="003A24CB" w:rsidRPr="00500F57">
        <w:t>, using a 7</w:t>
      </w:r>
      <w:r w:rsidR="002D30BA">
        <w:t xml:space="preserve"> per cent</w:t>
      </w:r>
      <w:r w:rsidR="003A24CB" w:rsidRPr="00500F57">
        <w:t xml:space="preserve"> </w:t>
      </w:r>
      <w:r w:rsidR="002740FD" w:rsidRPr="00500F57">
        <w:t xml:space="preserve">real </w:t>
      </w:r>
      <w:r w:rsidR="003A24CB" w:rsidRPr="00500F57">
        <w:t>discount rate</w:t>
      </w:r>
      <w:r w:rsidR="002F258F" w:rsidRPr="00500F57">
        <w:t>.</w:t>
      </w:r>
      <w:r w:rsidR="00D55005" w:rsidRPr="00500F57">
        <w:t xml:space="preserve"> </w:t>
      </w:r>
      <w:r w:rsidR="002F258F" w:rsidRPr="00500F57">
        <w:t>This estimate is conservative because it excludes recreation, leisure and home</w:t>
      </w:r>
      <w:r>
        <w:t>-</w:t>
      </w:r>
      <w:r w:rsidR="002F258F" w:rsidRPr="00500F57">
        <w:t>based production activities to avoid double counting.</w:t>
      </w:r>
      <w:bookmarkStart w:id="82" w:name="_Ref464076605"/>
    </w:p>
    <w:p w:rsidR="00F90D20" w:rsidRDefault="00F90D20" w:rsidP="002F27A9">
      <w:pPr>
        <w:rPr>
          <w:rFonts w:eastAsia="Times New Roman"/>
          <w:noProof/>
          <w:color w:val="auto"/>
          <w:spacing w:val="0"/>
        </w:rPr>
      </w:pPr>
      <w:r>
        <w:br w:type="page"/>
      </w:r>
    </w:p>
    <w:p w:rsidR="00BD2813" w:rsidRPr="005379D9" w:rsidRDefault="00BD2813" w:rsidP="00737DF6">
      <w:pPr>
        <w:pStyle w:val="Caption"/>
      </w:pPr>
      <w:r w:rsidRPr="00500F57">
        <w:lastRenderedPageBreak/>
        <w:t>Table</w:t>
      </w:r>
      <w:bookmarkEnd w:id="82"/>
      <w:r w:rsidR="007C0708">
        <w:t xml:space="preserve"> 15</w:t>
      </w:r>
      <w:r w:rsidRPr="00500F57">
        <w:t>:</w:t>
      </w:r>
      <w:r w:rsidR="00D55005" w:rsidRPr="00500F57">
        <w:t xml:space="preserve"> </w:t>
      </w:r>
      <w:r w:rsidRPr="00500F57">
        <w:t>Per capita healthcare and production benefits of achieving the national guidelines for physical activity in Victoria’s 15+ physically inactive population in 2016</w:t>
      </w:r>
    </w:p>
    <w:tbl>
      <w:tblPr>
        <w:tblStyle w:val="MJAnew"/>
        <w:tblW w:w="0" w:type="auto"/>
        <w:tblInd w:w="108" w:type="dxa"/>
        <w:tblLayout w:type="fixed"/>
        <w:tblLook w:val="01E0" w:firstRow="1" w:lastRow="1" w:firstColumn="1" w:lastColumn="1" w:noHBand="0" w:noVBand="0"/>
      </w:tblPr>
      <w:tblGrid>
        <w:gridCol w:w="7655"/>
        <w:gridCol w:w="2267"/>
      </w:tblGrid>
      <w:tr w:rsidR="00402A2A" w:rsidRPr="00402A2A" w:rsidTr="00402A2A">
        <w:tc>
          <w:tcPr>
            <w:tcW w:w="7655" w:type="dxa"/>
            <w:vAlign w:val="bottom"/>
          </w:tcPr>
          <w:p w:rsidR="00402A2A" w:rsidRPr="00402A2A" w:rsidRDefault="00402A2A" w:rsidP="002F27A9">
            <w:pPr>
              <w:pStyle w:val="Tablerow"/>
              <w:rPr>
                <w:b/>
              </w:rPr>
            </w:pPr>
            <w:r w:rsidRPr="00402A2A">
              <w:rPr>
                <w:b/>
              </w:rPr>
              <w:t>Description</w:t>
            </w:r>
          </w:p>
        </w:tc>
        <w:tc>
          <w:tcPr>
            <w:tcW w:w="2267" w:type="dxa"/>
            <w:vAlign w:val="bottom"/>
          </w:tcPr>
          <w:p w:rsidR="00402A2A" w:rsidRPr="00402A2A" w:rsidRDefault="00402A2A" w:rsidP="002F27A9">
            <w:pPr>
              <w:pStyle w:val="Tablerow"/>
              <w:rPr>
                <w:b/>
              </w:rPr>
            </w:pPr>
            <w:r w:rsidRPr="00402A2A">
              <w:rPr>
                <w:b/>
              </w:rPr>
              <w:t>Data</w:t>
            </w:r>
          </w:p>
        </w:tc>
      </w:tr>
      <w:tr w:rsidR="00342876" w:rsidRPr="00F90D20" w:rsidTr="00402A2A">
        <w:tc>
          <w:tcPr>
            <w:tcW w:w="7655" w:type="dxa"/>
            <w:vAlign w:val="bottom"/>
          </w:tcPr>
          <w:p w:rsidR="00342876" w:rsidRPr="00F90D20" w:rsidRDefault="00342876" w:rsidP="002F27A9">
            <w:pPr>
              <w:pStyle w:val="Tablerow"/>
            </w:pPr>
            <w:r w:rsidRPr="00F90D20">
              <w:t>Victorian population 15 years + in 2016</w:t>
            </w:r>
          </w:p>
        </w:tc>
        <w:tc>
          <w:tcPr>
            <w:tcW w:w="2267" w:type="dxa"/>
            <w:vAlign w:val="bottom"/>
          </w:tcPr>
          <w:p w:rsidR="00342876" w:rsidRPr="00F90D20" w:rsidRDefault="00675A04" w:rsidP="002F27A9">
            <w:pPr>
              <w:pStyle w:val="Tablerow"/>
            </w:pPr>
            <w:r w:rsidRPr="00F90D20">
              <w:t>4,600,000</w:t>
            </w:r>
          </w:p>
        </w:tc>
      </w:tr>
      <w:tr w:rsidR="00342876" w:rsidRPr="00F90D20" w:rsidTr="00402A2A">
        <w:tc>
          <w:tcPr>
            <w:tcW w:w="7655" w:type="dxa"/>
            <w:vAlign w:val="bottom"/>
          </w:tcPr>
          <w:p w:rsidR="00342876" w:rsidRPr="00F90D20" w:rsidRDefault="00342876" w:rsidP="002F27A9">
            <w:pPr>
              <w:pStyle w:val="Tablerow"/>
            </w:pPr>
            <w:r w:rsidRPr="00F90D20">
              <w:t xml:space="preserve">Proportion of population </w:t>
            </w:r>
            <w:r w:rsidR="000D1EEE" w:rsidRPr="00F90D20">
              <w:t xml:space="preserve">that is </w:t>
            </w:r>
            <w:r w:rsidRPr="00F90D20">
              <w:t xml:space="preserve">physically inactive </w:t>
            </w:r>
          </w:p>
        </w:tc>
        <w:tc>
          <w:tcPr>
            <w:tcW w:w="2267" w:type="dxa"/>
            <w:vAlign w:val="bottom"/>
          </w:tcPr>
          <w:p w:rsidR="00342876" w:rsidRPr="00F90D20" w:rsidRDefault="001E5E19" w:rsidP="002F27A9">
            <w:pPr>
              <w:pStyle w:val="Tablerow"/>
            </w:pPr>
            <w:r w:rsidRPr="00F90D20">
              <w:t>52</w:t>
            </w:r>
            <w:r w:rsidR="00342876" w:rsidRPr="00F90D20">
              <w:t>%</w:t>
            </w:r>
          </w:p>
        </w:tc>
      </w:tr>
      <w:tr w:rsidR="00342876" w:rsidRPr="00F90D20" w:rsidTr="00402A2A">
        <w:tc>
          <w:tcPr>
            <w:tcW w:w="7655" w:type="dxa"/>
            <w:vAlign w:val="bottom"/>
          </w:tcPr>
          <w:p w:rsidR="00342876" w:rsidRPr="00F90D20" w:rsidRDefault="00342876" w:rsidP="002F27A9">
            <w:pPr>
              <w:pStyle w:val="Tablerow"/>
            </w:pPr>
            <w:r w:rsidRPr="00F90D20">
              <w:t xml:space="preserve">Victorian population </w:t>
            </w:r>
            <w:r w:rsidR="000D1EEE" w:rsidRPr="00F90D20">
              <w:t>that is</w:t>
            </w:r>
            <w:r w:rsidRPr="00F90D20">
              <w:t xml:space="preserve"> physically inactive</w:t>
            </w:r>
          </w:p>
        </w:tc>
        <w:tc>
          <w:tcPr>
            <w:tcW w:w="2267" w:type="dxa"/>
            <w:vAlign w:val="bottom"/>
          </w:tcPr>
          <w:p w:rsidR="00342876" w:rsidRPr="00F90D20" w:rsidRDefault="003D58E4" w:rsidP="002F27A9">
            <w:pPr>
              <w:pStyle w:val="Tablerow"/>
            </w:pPr>
            <w:r w:rsidRPr="00F90D20">
              <w:t>2</w:t>
            </w:r>
            <w:r w:rsidR="00675A04" w:rsidRPr="00F90D20">
              <w:t>,</w:t>
            </w:r>
            <w:r w:rsidRPr="00F90D20">
              <w:t>4</w:t>
            </w:r>
            <w:r w:rsidR="00675A04" w:rsidRPr="00F90D20">
              <w:t>80</w:t>
            </w:r>
            <w:r w:rsidR="00342876" w:rsidRPr="00F90D20">
              <w:t>,</w:t>
            </w:r>
            <w:r w:rsidR="00675A04" w:rsidRPr="00F90D20">
              <w:t>000</w:t>
            </w:r>
          </w:p>
        </w:tc>
      </w:tr>
      <w:tr w:rsidR="00342876" w:rsidRPr="00F90D20" w:rsidTr="00402A2A">
        <w:tc>
          <w:tcPr>
            <w:tcW w:w="7655" w:type="dxa"/>
            <w:vAlign w:val="bottom"/>
          </w:tcPr>
          <w:p w:rsidR="00342876" w:rsidRPr="00F90D20" w:rsidRDefault="00342876" w:rsidP="002F27A9">
            <w:pPr>
              <w:pStyle w:val="Tablerow"/>
            </w:pPr>
            <w:r w:rsidRPr="00F90D20">
              <w:t xml:space="preserve">Total DALYS in 2016 </w:t>
            </w:r>
          </w:p>
        </w:tc>
        <w:tc>
          <w:tcPr>
            <w:tcW w:w="2267" w:type="dxa"/>
            <w:vAlign w:val="bottom"/>
          </w:tcPr>
          <w:p w:rsidR="00342876" w:rsidRPr="00F90D20" w:rsidRDefault="002740FD" w:rsidP="002F27A9">
            <w:pPr>
              <w:pStyle w:val="Tablerow"/>
            </w:pPr>
            <w:r w:rsidRPr="00F90D20">
              <w:t>65,000</w:t>
            </w:r>
          </w:p>
        </w:tc>
      </w:tr>
      <w:tr w:rsidR="00342876" w:rsidRPr="00F90D20" w:rsidTr="00402A2A">
        <w:tc>
          <w:tcPr>
            <w:tcW w:w="7655" w:type="dxa"/>
            <w:vAlign w:val="bottom"/>
          </w:tcPr>
          <w:p w:rsidR="00342876" w:rsidRPr="00F90D20" w:rsidRDefault="00342876" w:rsidP="002F27A9">
            <w:pPr>
              <w:pStyle w:val="Tablerow"/>
            </w:pPr>
            <w:r w:rsidRPr="00F90D20">
              <w:t>Total incident cases of disease in 2016</w:t>
            </w:r>
          </w:p>
        </w:tc>
        <w:tc>
          <w:tcPr>
            <w:tcW w:w="2267" w:type="dxa"/>
            <w:vAlign w:val="bottom"/>
          </w:tcPr>
          <w:p w:rsidR="00342876" w:rsidRPr="00F90D20" w:rsidRDefault="00342876" w:rsidP="002F27A9">
            <w:pPr>
              <w:pStyle w:val="Tablerow"/>
            </w:pPr>
            <w:r w:rsidRPr="00F90D20">
              <w:t>16,000</w:t>
            </w:r>
          </w:p>
        </w:tc>
      </w:tr>
      <w:tr w:rsidR="00342876" w:rsidRPr="00F90D20" w:rsidTr="00402A2A">
        <w:tc>
          <w:tcPr>
            <w:tcW w:w="7655" w:type="dxa"/>
            <w:vAlign w:val="bottom"/>
          </w:tcPr>
          <w:p w:rsidR="00342876" w:rsidRPr="00F90D20" w:rsidRDefault="00342876" w:rsidP="002F27A9">
            <w:pPr>
              <w:pStyle w:val="Tablerow"/>
            </w:pPr>
            <w:r w:rsidRPr="00F90D20">
              <w:t>Total deaths in 2016</w:t>
            </w:r>
          </w:p>
        </w:tc>
        <w:tc>
          <w:tcPr>
            <w:tcW w:w="2267" w:type="dxa"/>
            <w:vAlign w:val="bottom"/>
          </w:tcPr>
          <w:p w:rsidR="00342876" w:rsidRPr="00F90D20" w:rsidRDefault="002740FD" w:rsidP="002F27A9">
            <w:pPr>
              <w:pStyle w:val="Tablerow"/>
            </w:pPr>
            <w:r w:rsidRPr="00F90D20">
              <w:t>4,000</w:t>
            </w:r>
          </w:p>
        </w:tc>
      </w:tr>
      <w:tr w:rsidR="00342876" w:rsidRPr="00F90D20" w:rsidTr="00402A2A">
        <w:tc>
          <w:tcPr>
            <w:tcW w:w="7655" w:type="dxa"/>
            <w:vAlign w:val="bottom"/>
          </w:tcPr>
          <w:p w:rsidR="00342876" w:rsidRPr="00F90D20" w:rsidRDefault="00342876" w:rsidP="002F27A9">
            <w:pPr>
              <w:pStyle w:val="Tablerow"/>
            </w:pPr>
            <w:r w:rsidRPr="00F90D20">
              <w:t>DALYs averted per 10,000 pe</w:t>
            </w:r>
            <w:r w:rsidR="000D1EEE" w:rsidRPr="00F90D20">
              <w:t>ople</w:t>
            </w:r>
            <w:r w:rsidRPr="00F90D20">
              <w:t xml:space="preserve"> becoming physically active in 2016</w:t>
            </w:r>
          </w:p>
        </w:tc>
        <w:tc>
          <w:tcPr>
            <w:tcW w:w="2267" w:type="dxa"/>
            <w:vAlign w:val="bottom"/>
          </w:tcPr>
          <w:p w:rsidR="00342876" w:rsidRPr="00F90D20" w:rsidRDefault="00E70465" w:rsidP="002F27A9">
            <w:pPr>
              <w:pStyle w:val="Tablerow"/>
            </w:pPr>
            <w:r w:rsidRPr="00F90D20">
              <w:t>263</w:t>
            </w:r>
          </w:p>
        </w:tc>
      </w:tr>
      <w:tr w:rsidR="00342876" w:rsidRPr="00F90D20" w:rsidTr="00402A2A">
        <w:tc>
          <w:tcPr>
            <w:tcW w:w="7655" w:type="dxa"/>
            <w:vAlign w:val="bottom"/>
          </w:tcPr>
          <w:p w:rsidR="00342876" w:rsidRPr="00F90D20" w:rsidRDefault="00342876" w:rsidP="002F27A9">
            <w:pPr>
              <w:pStyle w:val="Tablerow"/>
            </w:pPr>
            <w:r w:rsidRPr="00F90D20">
              <w:t>Incident cases of disease prevented per 10,000 pe</w:t>
            </w:r>
            <w:r w:rsidR="000D1EEE" w:rsidRPr="00F90D20">
              <w:t>ople</w:t>
            </w:r>
            <w:r w:rsidRPr="00F90D20">
              <w:t xml:space="preserve"> becoming physically active in 2016</w:t>
            </w:r>
          </w:p>
        </w:tc>
        <w:tc>
          <w:tcPr>
            <w:tcW w:w="2267" w:type="dxa"/>
            <w:vAlign w:val="bottom"/>
          </w:tcPr>
          <w:p w:rsidR="00342876" w:rsidRPr="00F90D20" w:rsidRDefault="00E70465" w:rsidP="002F27A9">
            <w:pPr>
              <w:pStyle w:val="Tablerow"/>
            </w:pPr>
            <w:r w:rsidRPr="00F90D20">
              <w:t>64</w:t>
            </w:r>
          </w:p>
        </w:tc>
      </w:tr>
      <w:tr w:rsidR="00342876" w:rsidRPr="00F90D20" w:rsidTr="00402A2A">
        <w:tc>
          <w:tcPr>
            <w:tcW w:w="7655" w:type="dxa"/>
            <w:vAlign w:val="bottom"/>
          </w:tcPr>
          <w:p w:rsidR="00342876" w:rsidRPr="00F90D20" w:rsidRDefault="00342876" w:rsidP="002F27A9">
            <w:pPr>
              <w:pStyle w:val="Tablerow"/>
            </w:pPr>
            <w:r w:rsidRPr="00F90D20">
              <w:t>Deaths prevented per 10,000 pe</w:t>
            </w:r>
            <w:r w:rsidR="000D1EEE" w:rsidRPr="00F90D20">
              <w:t>ople</w:t>
            </w:r>
            <w:r w:rsidRPr="00F90D20">
              <w:t xml:space="preserve"> becoming physically active in 2016</w:t>
            </w:r>
          </w:p>
        </w:tc>
        <w:tc>
          <w:tcPr>
            <w:tcW w:w="2267" w:type="dxa"/>
            <w:vAlign w:val="bottom"/>
          </w:tcPr>
          <w:p w:rsidR="00342876" w:rsidRPr="00F90D20" w:rsidRDefault="00E70465" w:rsidP="002F27A9">
            <w:pPr>
              <w:pStyle w:val="Tablerow"/>
            </w:pPr>
            <w:r w:rsidRPr="00F90D20">
              <w:t>16</w:t>
            </w:r>
          </w:p>
        </w:tc>
      </w:tr>
      <w:tr w:rsidR="00342876" w:rsidRPr="00F90D20" w:rsidTr="00402A2A">
        <w:tc>
          <w:tcPr>
            <w:tcW w:w="7655" w:type="dxa"/>
            <w:vAlign w:val="bottom"/>
          </w:tcPr>
          <w:p w:rsidR="00342876" w:rsidRPr="00F90D20" w:rsidRDefault="00342876" w:rsidP="002F27A9">
            <w:pPr>
              <w:pStyle w:val="Tablerow"/>
            </w:pPr>
            <w:r w:rsidRPr="00F90D20">
              <w:t>Total health sector cost savings</w:t>
            </w:r>
          </w:p>
        </w:tc>
        <w:tc>
          <w:tcPr>
            <w:tcW w:w="2267" w:type="dxa"/>
            <w:vAlign w:val="bottom"/>
          </w:tcPr>
          <w:p w:rsidR="00342876" w:rsidRPr="00F90D20" w:rsidRDefault="000D1EEE" w:rsidP="002F27A9">
            <w:pPr>
              <w:pStyle w:val="Tablerow"/>
            </w:pPr>
            <w:r w:rsidRPr="00F90D20">
              <w:t>$</w:t>
            </w:r>
            <w:r w:rsidR="002740FD" w:rsidRPr="00F90D20">
              <w:t>245</w:t>
            </w:r>
            <w:r w:rsidRPr="00F90D20">
              <w:t xml:space="preserve"> million</w:t>
            </w:r>
          </w:p>
        </w:tc>
      </w:tr>
      <w:tr w:rsidR="00342876" w:rsidRPr="00F90D20" w:rsidTr="00402A2A">
        <w:tc>
          <w:tcPr>
            <w:tcW w:w="7655" w:type="dxa"/>
            <w:vAlign w:val="bottom"/>
          </w:tcPr>
          <w:p w:rsidR="00342876" w:rsidRPr="00F90D20" w:rsidRDefault="00342876" w:rsidP="002F27A9">
            <w:pPr>
              <w:pStyle w:val="Tablerow"/>
            </w:pPr>
            <w:r w:rsidRPr="00F90D20">
              <w:t>Healthcare cost savings per person who becomes physically active</w:t>
            </w:r>
          </w:p>
        </w:tc>
        <w:tc>
          <w:tcPr>
            <w:tcW w:w="2267" w:type="dxa"/>
            <w:vAlign w:val="bottom"/>
          </w:tcPr>
          <w:p w:rsidR="00342876" w:rsidRPr="00F90D20" w:rsidRDefault="00CA14A4" w:rsidP="002F27A9">
            <w:pPr>
              <w:pStyle w:val="Tablerow"/>
            </w:pPr>
            <w:r w:rsidRPr="00F90D20">
              <w:t>$100</w:t>
            </w:r>
          </w:p>
        </w:tc>
      </w:tr>
      <w:tr w:rsidR="00342876" w:rsidRPr="00F90D20" w:rsidTr="00402A2A">
        <w:tc>
          <w:tcPr>
            <w:tcW w:w="7655" w:type="dxa"/>
            <w:vAlign w:val="bottom"/>
          </w:tcPr>
          <w:p w:rsidR="00342876" w:rsidRPr="00F90D20" w:rsidRDefault="00342876" w:rsidP="002F27A9">
            <w:pPr>
              <w:pStyle w:val="Tablerow"/>
            </w:pPr>
            <w:r w:rsidRPr="00F90D20">
              <w:t xml:space="preserve">Total </w:t>
            </w:r>
            <w:r w:rsidR="003D58E4" w:rsidRPr="00F90D20">
              <w:t xml:space="preserve">workplace </w:t>
            </w:r>
            <w:r w:rsidRPr="00F90D20">
              <w:t>production benefit</w:t>
            </w:r>
            <w:r w:rsidR="000D1EEE" w:rsidRPr="00F90D20">
              <w:t>—</w:t>
            </w:r>
            <w:r w:rsidRPr="00F90D20">
              <w:t>HCA</w:t>
            </w:r>
          </w:p>
        </w:tc>
        <w:tc>
          <w:tcPr>
            <w:tcW w:w="2267" w:type="dxa"/>
            <w:vAlign w:val="bottom"/>
          </w:tcPr>
          <w:p w:rsidR="00342876" w:rsidRPr="00F90D20" w:rsidRDefault="000D1EEE" w:rsidP="002F27A9">
            <w:pPr>
              <w:pStyle w:val="Tablerow"/>
            </w:pPr>
            <w:r w:rsidRPr="00F90D20">
              <w:t>$</w:t>
            </w:r>
            <w:r w:rsidR="00342876" w:rsidRPr="00F90D20">
              <w:t>3,118</w:t>
            </w:r>
            <w:r w:rsidRPr="00F90D20">
              <w:t xml:space="preserve"> million</w:t>
            </w:r>
          </w:p>
        </w:tc>
      </w:tr>
      <w:tr w:rsidR="00342876" w:rsidRPr="00F90D20" w:rsidTr="00402A2A">
        <w:tc>
          <w:tcPr>
            <w:tcW w:w="7655" w:type="dxa"/>
            <w:vAlign w:val="bottom"/>
          </w:tcPr>
          <w:p w:rsidR="00342876" w:rsidRPr="00F90D20" w:rsidRDefault="00342876" w:rsidP="002F27A9">
            <w:pPr>
              <w:pStyle w:val="Tablerow"/>
            </w:pPr>
            <w:r w:rsidRPr="00F90D20">
              <w:t xml:space="preserve">Total </w:t>
            </w:r>
            <w:r w:rsidR="003D58E4" w:rsidRPr="00F90D20">
              <w:t>work</w:t>
            </w:r>
            <w:r w:rsidR="00500F57" w:rsidRPr="00F90D20">
              <w:t>p</w:t>
            </w:r>
            <w:r w:rsidR="003D58E4" w:rsidRPr="00F90D20">
              <w:t xml:space="preserve">lace </w:t>
            </w:r>
            <w:r w:rsidRPr="00F90D20">
              <w:t>production benefit</w:t>
            </w:r>
            <w:r w:rsidR="000D1EEE" w:rsidRPr="00F90D20">
              <w:t>—</w:t>
            </w:r>
            <w:r w:rsidRPr="00F90D20">
              <w:t>FCA</w:t>
            </w:r>
          </w:p>
        </w:tc>
        <w:tc>
          <w:tcPr>
            <w:tcW w:w="2267" w:type="dxa"/>
            <w:vAlign w:val="bottom"/>
          </w:tcPr>
          <w:p w:rsidR="00342876" w:rsidRPr="00F90D20" w:rsidRDefault="000D1EEE" w:rsidP="002F27A9">
            <w:pPr>
              <w:pStyle w:val="Tablerow"/>
            </w:pPr>
            <w:r w:rsidRPr="00F90D20">
              <w:t>$</w:t>
            </w:r>
            <w:r w:rsidR="003D58E4" w:rsidRPr="00F90D20">
              <w:t>528</w:t>
            </w:r>
            <w:r w:rsidRPr="00F90D20">
              <w:t xml:space="preserve"> million</w:t>
            </w:r>
          </w:p>
        </w:tc>
      </w:tr>
      <w:tr w:rsidR="00342876" w:rsidRPr="00F90D20" w:rsidTr="00402A2A">
        <w:tc>
          <w:tcPr>
            <w:tcW w:w="7655" w:type="dxa"/>
            <w:vAlign w:val="bottom"/>
          </w:tcPr>
          <w:p w:rsidR="00342876" w:rsidRPr="00F90D20" w:rsidRDefault="003D58E4" w:rsidP="002F27A9">
            <w:pPr>
              <w:pStyle w:val="Tablerow"/>
            </w:pPr>
            <w:r w:rsidRPr="00F90D20">
              <w:t>Workplace p</w:t>
            </w:r>
            <w:r w:rsidR="00342876" w:rsidRPr="00F90D20">
              <w:t>roduction benefit per person who becomes physically active</w:t>
            </w:r>
            <w:r w:rsidR="000D1EEE" w:rsidRPr="00F90D20">
              <w:t>—</w:t>
            </w:r>
            <w:r w:rsidR="00342876" w:rsidRPr="00F90D20">
              <w:t>HCA</w:t>
            </w:r>
          </w:p>
        </w:tc>
        <w:tc>
          <w:tcPr>
            <w:tcW w:w="2267" w:type="dxa"/>
            <w:vAlign w:val="bottom"/>
          </w:tcPr>
          <w:p w:rsidR="00342876" w:rsidRPr="00F90D20" w:rsidRDefault="002740FD" w:rsidP="002F27A9">
            <w:pPr>
              <w:pStyle w:val="Tablerow"/>
            </w:pPr>
            <w:r w:rsidRPr="00F90D20">
              <w:t>$</w:t>
            </w:r>
            <w:r w:rsidR="003D58E4" w:rsidRPr="00F90D20">
              <w:t>1</w:t>
            </w:r>
            <w:r w:rsidRPr="00F90D20">
              <w:t>,</w:t>
            </w:r>
            <w:r w:rsidR="003D58E4" w:rsidRPr="00F90D20">
              <w:t>255</w:t>
            </w:r>
          </w:p>
        </w:tc>
      </w:tr>
      <w:tr w:rsidR="00342876" w:rsidRPr="00F90D20" w:rsidTr="00402A2A">
        <w:tc>
          <w:tcPr>
            <w:tcW w:w="7655" w:type="dxa"/>
            <w:vAlign w:val="bottom"/>
          </w:tcPr>
          <w:p w:rsidR="00342876" w:rsidRPr="00F90D20" w:rsidRDefault="003D58E4" w:rsidP="002F27A9">
            <w:pPr>
              <w:pStyle w:val="Tablerow"/>
            </w:pPr>
            <w:r w:rsidRPr="00F90D20">
              <w:t>Workplace p</w:t>
            </w:r>
            <w:r w:rsidR="00342876" w:rsidRPr="00F90D20">
              <w:t>roduction benefit per person who becomes physically active</w:t>
            </w:r>
            <w:r w:rsidR="000D1EEE" w:rsidRPr="00F90D20">
              <w:t>—</w:t>
            </w:r>
            <w:r w:rsidR="00342876" w:rsidRPr="00F90D20">
              <w:t>FCA</w:t>
            </w:r>
          </w:p>
        </w:tc>
        <w:tc>
          <w:tcPr>
            <w:tcW w:w="2267" w:type="dxa"/>
            <w:vAlign w:val="bottom"/>
          </w:tcPr>
          <w:p w:rsidR="00342876" w:rsidRPr="00F90D20" w:rsidRDefault="002740FD" w:rsidP="002F27A9">
            <w:pPr>
              <w:pStyle w:val="Tablerow"/>
            </w:pPr>
            <w:r w:rsidRPr="00F90D20">
              <w:t>$</w:t>
            </w:r>
            <w:r w:rsidR="003D58E4" w:rsidRPr="00F90D20">
              <w:t>200</w:t>
            </w:r>
          </w:p>
        </w:tc>
      </w:tr>
      <w:tr w:rsidR="00342876" w:rsidRPr="00F90D20" w:rsidTr="00402A2A">
        <w:tc>
          <w:tcPr>
            <w:tcW w:w="7655" w:type="dxa"/>
            <w:vAlign w:val="bottom"/>
          </w:tcPr>
          <w:p w:rsidR="00342876" w:rsidRPr="00F90D20" w:rsidRDefault="00342876" w:rsidP="002F27A9">
            <w:pPr>
              <w:pStyle w:val="Tablerow"/>
            </w:pPr>
            <w:r w:rsidRPr="00F90D20">
              <w:t>Health cost saving per person</w:t>
            </w:r>
            <w:r w:rsidR="000D1EEE" w:rsidRPr="00F90D20">
              <w:t>—HCA</w:t>
            </w:r>
          </w:p>
        </w:tc>
        <w:tc>
          <w:tcPr>
            <w:tcW w:w="2267" w:type="dxa"/>
            <w:vAlign w:val="bottom"/>
          </w:tcPr>
          <w:p w:rsidR="00342876" w:rsidRPr="00F90D20" w:rsidRDefault="002740FD" w:rsidP="002F27A9">
            <w:pPr>
              <w:pStyle w:val="Tablerow"/>
            </w:pPr>
            <w:r w:rsidRPr="00F90D20">
              <w:t>$</w:t>
            </w:r>
            <w:r w:rsidR="003D58E4" w:rsidRPr="00F90D20">
              <w:t>1</w:t>
            </w:r>
            <w:r w:rsidRPr="00F90D20">
              <w:t>,3</w:t>
            </w:r>
            <w:r w:rsidR="003D58E4" w:rsidRPr="00F90D20">
              <w:t>5</w:t>
            </w:r>
            <w:r w:rsidRPr="00F90D20">
              <w:t>5</w:t>
            </w:r>
          </w:p>
        </w:tc>
      </w:tr>
      <w:tr w:rsidR="00342876" w:rsidRPr="00F90D20" w:rsidTr="00402A2A">
        <w:tc>
          <w:tcPr>
            <w:tcW w:w="7655" w:type="dxa"/>
            <w:vAlign w:val="bottom"/>
          </w:tcPr>
          <w:p w:rsidR="00342876" w:rsidRPr="00F90D20" w:rsidRDefault="00342876" w:rsidP="002F27A9">
            <w:pPr>
              <w:pStyle w:val="Tablerow"/>
            </w:pPr>
            <w:r w:rsidRPr="00F90D20">
              <w:t>Health cost saving per person</w:t>
            </w:r>
            <w:r w:rsidR="000D1EEE" w:rsidRPr="00F90D20">
              <w:t>—FCA</w:t>
            </w:r>
          </w:p>
        </w:tc>
        <w:tc>
          <w:tcPr>
            <w:tcW w:w="2267" w:type="dxa"/>
            <w:vAlign w:val="bottom"/>
          </w:tcPr>
          <w:p w:rsidR="00342876" w:rsidRPr="00F90D20" w:rsidRDefault="002740FD" w:rsidP="002F27A9">
            <w:pPr>
              <w:pStyle w:val="Tablerow"/>
            </w:pPr>
            <w:r w:rsidRPr="00F90D20">
              <w:t>$</w:t>
            </w:r>
            <w:r w:rsidR="003D58E4" w:rsidRPr="00F90D20">
              <w:t>300</w:t>
            </w:r>
          </w:p>
        </w:tc>
      </w:tr>
    </w:tbl>
    <w:p w:rsidR="00787A8C" w:rsidRPr="0034748A" w:rsidRDefault="005379D9" w:rsidP="0034748A">
      <w:pPr>
        <w:pStyle w:val="FootnoteText"/>
        <w:rPr>
          <w:rFonts w:eastAsia="Lato Light"/>
        </w:rPr>
      </w:pPr>
      <w:r w:rsidRPr="0034748A">
        <w:rPr>
          <w:rFonts w:eastAsia="Lato Light"/>
        </w:rPr>
        <w:t>Note:</w:t>
      </w:r>
      <w:r w:rsidRPr="0034748A">
        <w:rPr>
          <w:rFonts w:eastAsia="Lato Light"/>
        </w:rPr>
        <w:tab/>
      </w:r>
      <w:r w:rsidR="00F861A3" w:rsidRPr="0034748A">
        <w:rPr>
          <w:rFonts w:eastAsia="Lato Light"/>
        </w:rPr>
        <w:t xml:space="preserve"> </w:t>
      </w:r>
      <w:r w:rsidRPr="0034748A">
        <w:rPr>
          <w:rFonts w:eastAsia="Lato Light"/>
        </w:rPr>
        <w:t>Using a 7</w:t>
      </w:r>
      <w:r w:rsidR="002D30BA" w:rsidRPr="0034748A">
        <w:rPr>
          <w:rFonts w:eastAsia="Lato Light"/>
        </w:rPr>
        <w:t xml:space="preserve"> per cent</w:t>
      </w:r>
      <w:r w:rsidRPr="0034748A">
        <w:rPr>
          <w:rFonts w:eastAsia="Lato Light"/>
        </w:rPr>
        <w:t xml:space="preserve"> discount rate.</w:t>
      </w:r>
      <w:bookmarkStart w:id="83" w:name="_Toc431564048"/>
      <w:bookmarkStart w:id="84" w:name="_Toc477964697"/>
    </w:p>
    <w:p w:rsidR="00F90D20" w:rsidRDefault="00F90D20" w:rsidP="002F27A9">
      <w:pPr>
        <w:rPr>
          <w:rFonts w:eastAsia="Lato Light"/>
          <w:color w:val="262626" w:themeColor="text1" w:themeTint="D9"/>
          <w:spacing w:val="-1"/>
          <w:sz w:val="60"/>
          <w:szCs w:val="60"/>
        </w:rPr>
      </w:pPr>
      <w:r>
        <w:br w:type="page"/>
      </w:r>
    </w:p>
    <w:p w:rsidR="004F6C2B" w:rsidRPr="00500F57" w:rsidRDefault="004F6C2B" w:rsidP="002F27A9">
      <w:pPr>
        <w:pStyle w:val="Heading1"/>
      </w:pPr>
      <w:bookmarkStart w:id="85" w:name="_Toc516050185"/>
      <w:r w:rsidRPr="00500F57">
        <w:lastRenderedPageBreak/>
        <w:t>Next steps</w:t>
      </w:r>
      <w:bookmarkEnd w:id="83"/>
      <w:bookmarkEnd w:id="84"/>
      <w:bookmarkEnd w:id="85"/>
    </w:p>
    <w:p w:rsidR="004F6C2B" w:rsidRPr="009F0FF4" w:rsidRDefault="00342876" w:rsidP="002F27A9">
      <w:pPr>
        <w:rPr>
          <w:rStyle w:val="Emphasis"/>
        </w:rPr>
      </w:pPr>
      <w:r w:rsidRPr="009F0FF4">
        <w:rPr>
          <w:rStyle w:val="Emphasis"/>
        </w:rPr>
        <w:t>This report shows that</w:t>
      </w:r>
      <w:r w:rsidR="004F6C2B" w:rsidRPr="009F0FF4">
        <w:rPr>
          <w:rStyle w:val="Emphasis"/>
        </w:rPr>
        <w:t xml:space="preserve"> </w:t>
      </w:r>
      <w:r w:rsidR="00BE7937" w:rsidRPr="009F0FF4">
        <w:rPr>
          <w:rStyle w:val="Emphasis"/>
        </w:rPr>
        <w:t xml:space="preserve">Victoria’s </w:t>
      </w:r>
      <w:r w:rsidR="005404CC" w:rsidRPr="009F0FF4">
        <w:rPr>
          <w:rStyle w:val="Emphasis"/>
        </w:rPr>
        <w:t>active</w:t>
      </w:r>
      <w:r w:rsidRPr="009F0FF4">
        <w:rPr>
          <w:rStyle w:val="Emphasis"/>
        </w:rPr>
        <w:t xml:space="preserve"> recreation</w:t>
      </w:r>
      <w:r w:rsidR="00BE7937" w:rsidRPr="009F0FF4">
        <w:rPr>
          <w:rStyle w:val="Emphasis"/>
        </w:rPr>
        <w:t xml:space="preserve"> sector is an important part of the Victorian economy, and</w:t>
      </w:r>
      <w:r w:rsidR="00A27B8F" w:rsidRPr="009F0FF4">
        <w:rPr>
          <w:rStyle w:val="Emphasis"/>
        </w:rPr>
        <w:t xml:space="preserve"> that it</w:t>
      </w:r>
      <w:r w:rsidR="00BE7937" w:rsidRPr="009F0FF4">
        <w:rPr>
          <w:rStyle w:val="Emphasis"/>
        </w:rPr>
        <w:t xml:space="preserve"> </w:t>
      </w:r>
      <w:r w:rsidR="00404214" w:rsidRPr="009F0FF4">
        <w:rPr>
          <w:rStyle w:val="Emphasis"/>
        </w:rPr>
        <w:t xml:space="preserve">probably </w:t>
      </w:r>
      <w:r w:rsidR="00BE7937" w:rsidRPr="009F0FF4">
        <w:rPr>
          <w:rStyle w:val="Emphasis"/>
        </w:rPr>
        <w:t>makes far more of a contribution to Victorians’ wellbeing and communit</w:t>
      </w:r>
      <w:r w:rsidR="00404214" w:rsidRPr="009F0FF4">
        <w:rPr>
          <w:rStyle w:val="Emphasis"/>
        </w:rPr>
        <w:t>ies</w:t>
      </w:r>
      <w:r w:rsidR="00BE7937" w:rsidRPr="009F0FF4">
        <w:rPr>
          <w:rStyle w:val="Emphasis"/>
        </w:rPr>
        <w:t xml:space="preserve"> than many of us realise</w:t>
      </w:r>
      <w:r w:rsidR="004F6C2B" w:rsidRPr="009F0FF4">
        <w:rPr>
          <w:rStyle w:val="Emphasis"/>
        </w:rPr>
        <w:t>.</w:t>
      </w:r>
    </w:p>
    <w:p w:rsidR="00D55005" w:rsidRPr="00500F57" w:rsidRDefault="00934473" w:rsidP="002F27A9">
      <w:r w:rsidRPr="00500F57">
        <w:t>Many of the</w:t>
      </w:r>
      <w:r w:rsidR="004F6C2B" w:rsidRPr="00500F57">
        <w:t xml:space="preserve"> estimates in this report are approximat</w:t>
      </w:r>
      <w:r w:rsidR="00AB58A0" w:rsidRPr="00500F57">
        <w:t>ion</w:t>
      </w:r>
      <w:r w:rsidRPr="00500F57">
        <w:t>s</w:t>
      </w:r>
      <w:r w:rsidR="00342876" w:rsidRPr="00500F57">
        <w:t xml:space="preserve"> </w:t>
      </w:r>
      <w:r w:rsidR="005404CC" w:rsidRPr="00500F57">
        <w:t>based</w:t>
      </w:r>
      <w:r w:rsidR="00342876" w:rsidRPr="00500F57">
        <w:t xml:space="preserve"> on </w:t>
      </w:r>
      <w:r w:rsidR="00404214">
        <w:t xml:space="preserve">the </w:t>
      </w:r>
      <w:r w:rsidR="00342876" w:rsidRPr="00500F57">
        <w:t>best</w:t>
      </w:r>
      <w:r w:rsidR="00404214">
        <w:t xml:space="preserve"> </w:t>
      </w:r>
      <w:r w:rsidR="00342876" w:rsidRPr="00500F57">
        <w:t>available data</w:t>
      </w:r>
      <w:r w:rsidR="00BE7937" w:rsidRPr="00500F57">
        <w:t>. Our main aim has been</w:t>
      </w:r>
      <w:r w:rsidR="004F6C2B" w:rsidRPr="00500F57">
        <w:t xml:space="preserve"> to present </w:t>
      </w:r>
      <w:r w:rsidR="00BE7937" w:rsidRPr="00500F57">
        <w:t xml:space="preserve">order of magnitude estimates of the economic and welfare contribution of Victoria’s </w:t>
      </w:r>
      <w:r w:rsidR="00342876" w:rsidRPr="00500F57">
        <w:t>active recreation</w:t>
      </w:r>
      <w:r w:rsidR="00BE7937" w:rsidRPr="00500F57">
        <w:t xml:space="preserve"> sector to our </w:t>
      </w:r>
      <w:r w:rsidR="004F6C2B" w:rsidRPr="00500F57">
        <w:t>community</w:t>
      </w:r>
      <w:r w:rsidR="006300B0" w:rsidRPr="00500F57">
        <w:t xml:space="preserve">, based on </w:t>
      </w:r>
      <w:r w:rsidR="00404214">
        <w:t xml:space="preserve">the </w:t>
      </w:r>
      <w:r w:rsidR="006300B0" w:rsidRPr="00500F57">
        <w:t>best available evidence</w:t>
      </w:r>
      <w:r w:rsidR="004F6C2B" w:rsidRPr="00500F57">
        <w:t>.</w:t>
      </w:r>
    </w:p>
    <w:p w:rsidR="00680F4A" w:rsidRPr="00500F57" w:rsidRDefault="00680F4A" w:rsidP="002F27A9">
      <w:r w:rsidRPr="00500F57">
        <w:t xml:space="preserve">Further work is needed to narrow and strengthen the estimates in this report and to develop a consensus approach for evaluating the contribution of Victoria’s </w:t>
      </w:r>
      <w:r w:rsidR="00342876" w:rsidRPr="00500F57">
        <w:t xml:space="preserve">active recreation </w:t>
      </w:r>
      <w:r w:rsidRPr="00500F57">
        <w:t xml:space="preserve">sector </w:t>
      </w:r>
      <w:r w:rsidR="00404214">
        <w:t>in the future</w:t>
      </w:r>
      <w:r w:rsidRPr="00500F57">
        <w:t>.</w:t>
      </w:r>
      <w:r w:rsidR="00D55005" w:rsidRPr="00500F57">
        <w:t xml:space="preserve"> </w:t>
      </w:r>
      <w:r w:rsidR="00342876" w:rsidRPr="00500F57">
        <w:t>This view is consistent with the recommendation we made in our recent work for Outdoors Victoria</w:t>
      </w:r>
      <w:r w:rsidR="00DF624B">
        <w:t xml:space="preserve"> (MJA, 2016)</w:t>
      </w:r>
      <w:r w:rsidR="00342876" w:rsidRPr="00500F57">
        <w:t>.</w:t>
      </w:r>
      <w:r w:rsidR="00D55005" w:rsidRPr="00500F57">
        <w:t xml:space="preserve"> </w:t>
      </w:r>
      <w:r w:rsidRPr="00500F57">
        <w:t>In particular</w:t>
      </w:r>
      <w:r w:rsidR="00404214">
        <w:t>,</w:t>
      </w:r>
      <w:r w:rsidRPr="00500F57">
        <w:t xml:space="preserve"> </w:t>
      </w:r>
      <w:r w:rsidR="00DF624B">
        <w:t xml:space="preserve">we need to do </w:t>
      </w:r>
      <w:r w:rsidR="00D97D4C">
        <w:t>four</w:t>
      </w:r>
      <w:r w:rsidR="00DF624B">
        <w:t xml:space="preserve"> things</w:t>
      </w:r>
      <w:r w:rsidRPr="00500F57">
        <w:t>:</w:t>
      </w:r>
    </w:p>
    <w:p w:rsidR="00D55005" w:rsidRPr="00500F57" w:rsidRDefault="00680F4A" w:rsidP="002F27A9">
      <w:pPr>
        <w:pStyle w:val="ListParagraph"/>
      </w:pPr>
      <w:r w:rsidRPr="00913B3F">
        <w:rPr>
          <w:b/>
        </w:rPr>
        <w:t>Close data and knowledge gaps:</w:t>
      </w:r>
      <w:r w:rsidR="00D55005" w:rsidRPr="00500F57">
        <w:t xml:space="preserve"> </w:t>
      </w:r>
      <w:r w:rsidR="00404214">
        <w:t>S</w:t>
      </w:r>
      <w:r w:rsidRPr="00500F57">
        <w:t xml:space="preserve">everal </w:t>
      </w:r>
      <w:r w:rsidR="00404214">
        <w:t>important</w:t>
      </w:r>
      <w:r w:rsidR="00404214" w:rsidRPr="00500F57">
        <w:t xml:space="preserve"> </w:t>
      </w:r>
      <w:r w:rsidRPr="00500F57">
        <w:t xml:space="preserve">knowledge gaps have been identified in this work. </w:t>
      </w:r>
      <w:r w:rsidR="00DF624B">
        <w:t>We need to</w:t>
      </w:r>
      <w:r w:rsidR="00404214" w:rsidRPr="00500F57">
        <w:t xml:space="preserve"> </w:t>
      </w:r>
      <w:r w:rsidR="00342876" w:rsidRPr="00500F57">
        <w:t xml:space="preserve">understand how different levels of physical activity </w:t>
      </w:r>
      <w:r w:rsidR="00404214">
        <w:t>affect</w:t>
      </w:r>
      <w:r w:rsidR="00342876" w:rsidRPr="00500F57">
        <w:t xml:space="preserve"> health and production outcomes.</w:t>
      </w:r>
      <w:r w:rsidR="00D55005" w:rsidRPr="00500F57">
        <w:t xml:space="preserve"> </w:t>
      </w:r>
      <w:r w:rsidR="00342876" w:rsidRPr="00500F57">
        <w:t>At the moment</w:t>
      </w:r>
      <w:r w:rsidR="00404214">
        <w:t>,</w:t>
      </w:r>
      <w:r w:rsidR="00342876" w:rsidRPr="00500F57">
        <w:t xml:space="preserve"> we are limited to being able to attribute the health and production outcomes of shifting between physical inactivity and physical activity.</w:t>
      </w:r>
      <w:r w:rsidR="00D55005" w:rsidRPr="00500F57">
        <w:t xml:space="preserve"> </w:t>
      </w:r>
      <w:r w:rsidR="00342876" w:rsidRPr="00500F57">
        <w:t>This relatively coarse level of understanding</w:t>
      </w:r>
      <w:r w:rsidRPr="00500F57">
        <w:t xml:space="preserve"> </w:t>
      </w:r>
      <w:r w:rsidR="00342876" w:rsidRPr="00500F57">
        <w:t>limits the scope for clear evidence</w:t>
      </w:r>
      <w:r w:rsidR="00404214">
        <w:t>-</w:t>
      </w:r>
      <w:r w:rsidR="00342876" w:rsidRPr="00500F57">
        <w:t xml:space="preserve">based policy to </w:t>
      </w:r>
      <w:r w:rsidR="00DF624B">
        <w:t>encourage</w:t>
      </w:r>
      <w:r w:rsidR="00342876" w:rsidRPr="00500F57">
        <w:t xml:space="preserve"> Victorians</w:t>
      </w:r>
      <w:r w:rsidR="00DF624B">
        <w:t xml:space="preserve"> to make that shift</w:t>
      </w:r>
      <w:r w:rsidR="00342876" w:rsidRPr="00500F57">
        <w:t>.</w:t>
      </w:r>
    </w:p>
    <w:p w:rsidR="00D55005" w:rsidRPr="00500F57" w:rsidRDefault="00342876" w:rsidP="00D97D4C">
      <w:pPr>
        <w:pStyle w:val="ListParagraph"/>
        <w:numPr>
          <w:ilvl w:val="0"/>
          <w:numId w:val="0"/>
        </w:numPr>
        <w:ind w:left="357"/>
      </w:pPr>
      <w:r w:rsidRPr="00500F57">
        <w:t xml:space="preserve">Given that there are around </w:t>
      </w:r>
      <w:r w:rsidR="001E5E19">
        <w:t>2</w:t>
      </w:r>
      <w:r w:rsidRPr="00500F57">
        <w:t>.</w:t>
      </w:r>
      <w:r w:rsidR="00D55005" w:rsidRPr="00500F57">
        <w:t>5 m</w:t>
      </w:r>
      <w:r w:rsidRPr="00500F57">
        <w:t>illion inactive Victorians aged 15+</w:t>
      </w:r>
      <w:r w:rsidR="00404214">
        <w:t>,</w:t>
      </w:r>
      <w:r w:rsidRPr="00500F57">
        <w:t xml:space="preserve"> th</w:t>
      </w:r>
      <w:r w:rsidR="00404214">
        <w:t>at</w:t>
      </w:r>
      <w:r w:rsidR="00FB6026" w:rsidRPr="00500F57">
        <w:t xml:space="preserve"> group</w:t>
      </w:r>
      <w:r w:rsidRPr="00500F57">
        <w:t xml:space="preserve"> may be enough </w:t>
      </w:r>
      <w:r w:rsidR="00FB6026" w:rsidRPr="00500F57">
        <w:t>for</w:t>
      </w:r>
      <w:r w:rsidRPr="00500F57">
        <w:t xml:space="preserve"> policy</w:t>
      </w:r>
      <w:r w:rsidR="00FB6026" w:rsidRPr="00500F57">
        <w:t xml:space="preserve"> to</w:t>
      </w:r>
      <w:r w:rsidRPr="00500F57">
        <w:t xml:space="preserve"> focus</w:t>
      </w:r>
      <w:r w:rsidR="00FB6026" w:rsidRPr="00500F57">
        <w:t xml:space="preserve"> on initially</w:t>
      </w:r>
      <w:r w:rsidR="00404214">
        <w:t>. However,</w:t>
      </w:r>
      <w:r w:rsidR="00FB6026" w:rsidRPr="00500F57">
        <w:t xml:space="preserve"> over time</w:t>
      </w:r>
      <w:r w:rsidR="00404214">
        <w:t>,</w:t>
      </w:r>
      <w:r w:rsidR="00FB6026" w:rsidRPr="00500F57">
        <w:t xml:space="preserve"> more nuanced and disaggregated policy may be called for</w:t>
      </w:r>
      <w:r w:rsidR="00404214">
        <w:t>,</w:t>
      </w:r>
      <w:r w:rsidR="00FB6026" w:rsidRPr="00500F57">
        <w:t xml:space="preserve"> and an evidence base </w:t>
      </w:r>
      <w:r w:rsidR="00404214">
        <w:t xml:space="preserve">is </w:t>
      </w:r>
      <w:r w:rsidR="00FB6026" w:rsidRPr="00500F57">
        <w:t xml:space="preserve">needed to back </w:t>
      </w:r>
      <w:r w:rsidR="00404214">
        <w:t>such policy</w:t>
      </w:r>
      <w:r w:rsidR="00680F4A" w:rsidRPr="00500F57">
        <w:t>.</w:t>
      </w:r>
      <w:r w:rsidR="00D55005" w:rsidRPr="00500F57">
        <w:t xml:space="preserve"> </w:t>
      </w:r>
      <w:r w:rsidR="00E55B6A" w:rsidRPr="00500F57">
        <w:t xml:space="preserve">A second key data gap is </w:t>
      </w:r>
      <w:r w:rsidR="00404214">
        <w:t>in</w:t>
      </w:r>
      <w:r w:rsidR="00E55B6A" w:rsidRPr="00500F57">
        <w:t xml:space="preserve"> evidence on the economic and welfare implications of active recreation in the under 1</w:t>
      </w:r>
      <w:r w:rsidR="00D55005" w:rsidRPr="00500F57">
        <w:t>5</w:t>
      </w:r>
      <w:r w:rsidR="00404214">
        <w:t>-</w:t>
      </w:r>
      <w:r w:rsidR="00D55005" w:rsidRPr="00500F57">
        <w:t>y</w:t>
      </w:r>
      <w:r w:rsidR="00E55B6A" w:rsidRPr="00500F57">
        <w:t>ear age category.</w:t>
      </w:r>
    </w:p>
    <w:p w:rsidR="00D55005" w:rsidRPr="00500F57" w:rsidRDefault="00680F4A" w:rsidP="002F27A9">
      <w:pPr>
        <w:pStyle w:val="ListParagraph"/>
      </w:pPr>
      <w:r w:rsidRPr="00D97D4C">
        <w:rPr>
          <w:b/>
        </w:rPr>
        <w:t xml:space="preserve">Develop a standard approach for estimating the economic and welfare contribution of Victoria’s </w:t>
      </w:r>
      <w:r w:rsidR="00342876" w:rsidRPr="00D97D4C">
        <w:rPr>
          <w:b/>
        </w:rPr>
        <w:t xml:space="preserve">sport and active recreation </w:t>
      </w:r>
      <w:r w:rsidRPr="00D97D4C">
        <w:rPr>
          <w:b/>
        </w:rPr>
        <w:t>sectors:</w:t>
      </w:r>
      <w:r w:rsidR="00D55005" w:rsidRPr="00500F57">
        <w:t xml:space="preserve"> </w:t>
      </w:r>
      <w:r w:rsidR="00404214">
        <w:t>S</w:t>
      </w:r>
      <w:r w:rsidR="00342876" w:rsidRPr="00500F57">
        <w:t>port and active recreation are natural and compl</w:t>
      </w:r>
      <w:r w:rsidR="00404214">
        <w:t>e</w:t>
      </w:r>
      <w:r w:rsidR="00342876" w:rsidRPr="00500F57">
        <w:t>mentary activities.</w:t>
      </w:r>
      <w:r w:rsidR="00D55005" w:rsidRPr="00500F57">
        <w:t xml:space="preserve"> </w:t>
      </w:r>
      <w:r w:rsidR="00342876" w:rsidRPr="00500F57">
        <w:t>O</w:t>
      </w:r>
      <w:r w:rsidRPr="00500F57">
        <w:t xml:space="preserve">ur work </w:t>
      </w:r>
      <w:r w:rsidR="00404214">
        <w:t>found</w:t>
      </w:r>
      <w:r w:rsidR="00404214" w:rsidRPr="00500F57">
        <w:t xml:space="preserve"> </w:t>
      </w:r>
      <w:r w:rsidRPr="00500F57">
        <w:t xml:space="preserve">that </w:t>
      </w:r>
      <w:r w:rsidR="00404214">
        <w:t xml:space="preserve">the </w:t>
      </w:r>
      <w:r w:rsidR="00342876" w:rsidRPr="00500F57">
        <w:t>sport and active recreation sectors and subsectors</w:t>
      </w:r>
      <w:r w:rsidRPr="00500F57">
        <w:t xml:space="preserve"> </w:t>
      </w:r>
      <w:r w:rsidR="00404214">
        <w:t>that</w:t>
      </w:r>
      <w:r w:rsidR="00404214" w:rsidRPr="00500F57">
        <w:t xml:space="preserve"> </w:t>
      </w:r>
      <w:r w:rsidRPr="00500F57">
        <w:t>are evaluating their economic contribution in Victoria are often using different approaches. Th</w:t>
      </w:r>
      <w:r w:rsidR="00404214">
        <w:t>o</w:t>
      </w:r>
      <w:r w:rsidRPr="00500F57">
        <w:t>se approaches are not always consistent</w:t>
      </w:r>
      <w:r w:rsidR="00DF624B">
        <w:t xml:space="preserve"> and</w:t>
      </w:r>
      <w:r w:rsidR="00404214">
        <w:t xml:space="preserve"> </w:t>
      </w:r>
      <w:r w:rsidRPr="00500F57">
        <w:t>transparent. We t</w:t>
      </w:r>
      <w:r w:rsidR="00342876" w:rsidRPr="00500F57">
        <w:t xml:space="preserve">hink </w:t>
      </w:r>
      <w:r w:rsidR="00404214">
        <w:t xml:space="preserve">that </w:t>
      </w:r>
      <w:r w:rsidR="00342876" w:rsidRPr="00500F57">
        <w:t xml:space="preserve">the Victorian physical activity </w:t>
      </w:r>
      <w:r w:rsidRPr="00500F57">
        <w:t xml:space="preserve">sector would benefit from </w:t>
      </w:r>
      <w:r w:rsidR="00404214">
        <w:t>using</w:t>
      </w:r>
      <w:r w:rsidR="00404214" w:rsidRPr="00500F57">
        <w:t xml:space="preserve"> </w:t>
      </w:r>
      <w:r w:rsidRPr="00500F57">
        <w:t>a uniform approach to estimat</w:t>
      </w:r>
      <w:r w:rsidR="00404214">
        <w:t>e</w:t>
      </w:r>
      <w:r w:rsidRPr="00500F57">
        <w:t xml:space="preserve"> the economic and welfare contributions of </w:t>
      </w:r>
      <w:r w:rsidR="005D6D50" w:rsidRPr="00500F57">
        <w:t xml:space="preserve">active recreation </w:t>
      </w:r>
      <w:r w:rsidRPr="00500F57">
        <w:t xml:space="preserve">subsectors. This approach should preferably be developed using </w:t>
      </w:r>
      <w:r w:rsidR="00DF624B">
        <w:t xml:space="preserve">the </w:t>
      </w:r>
      <w:r w:rsidRPr="00500F57">
        <w:t>Victorian Department of Treasury and Finance</w:t>
      </w:r>
      <w:r w:rsidR="00404214">
        <w:t>’s</w:t>
      </w:r>
      <w:r w:rsidRPr="00500F57">
        <w:t xml:space="preserve"> guidelines and support, which would ensure </w:t>
      </w:r>
      <w:r w:rsidR="00404214">
        <w:t xml:space="preserve">that </w:t>
      </w:r>
      <w:r w:rsidRPr="00500F57">
        <w:t>the approach is ‘gold standard’.</w:t>
      </w:r>
    </w:p>
    <w:p w:rsidR="00680F4A" w:rsidRPr="00500F57" w:rsidRDefault="00680F4A" w:rsidP="002F27A9">
      <w:pPr>
        <w:pStyle w:val="ListParagraph"/>
      </w:pPr>
      <w:r w:rsidRPr="00913B3F">
        <w:rPr>
          <w:b/>
        </w:rPr>
        <w:t>Develop industry-standard economic and welfare performance measures:</w:t>
      </w:r>
      <w:r w:rsidR="00D55005" w:rsidRPr="00500F57">
        <w:t xml:space="preserve"> </w:t>
      </w:r>
      <w:r w:rsidR="00404214">
        <w:t>The</w:t>
      </w:r>
      <w:r w:rsidRPr="00500F57">
        <w:t xml:space="preserve"> Victorian </w:t>
      </w:r>
      <w:r w:rsidR="00342876" w:rsidRPr="00500F57">
        <w:t>sport and active recreation</w:t>
      </w:r>
      <w:r w:rsidRPr="00500F57">
        <w:t xml:space="preserve"> sector</w:t>
      </w:r>
      <w:r w:rsidR="00342876" w:rsidRPr="00500F57">
        <w:t>s</w:t>
      </w:r>
      <w:r w:rsidRPr="00500F57">
        <w:t xml:space="preserve"> would benefit from having a uniform set of economic and welfare contribution measures </w:t>
      </w:r>
      <w:r w:rsidR="00404214">
        <w:t>to use in evaluating</w:t>
      </w:r>
      <w:r w:rsidR="00404214" w:rsidRPr="00500F57">
        <w:t xml:space="preserve"> </w:t>
      </w:r>
      <w:r w:rsidRPr="00500F57">
        <w:t>industry performance over time. Again, these measures could be developed using Department of Treasury and Finance guidelines and support.</w:t>
      </w:r>
    </w:p>
    <w:p w:rsidR="00FB6026" w:rsidRPr="00E8130C" w:rsidRDefault="00320D4C" w:rsidP="002F27A9">
      <w:pPr>
        <w:pStyle w:val="ListParagraph"/>
      </w:pPr>
      <w:r w:rsidRPr="00913B3F">
        <w:rPr>
          <w:b/>
        </w:rPr>
        <w:lastRenderedPageBreak/>
        <w:t>F</w:t>
      </w:r>
      <w:r w:rsidR="00680F4A" w:rsidRPr="00913B3F">
        <w:rPr>
          <w:b/>
        </w:rPr>
        <w:t>urther research and sector development:</w:t>
      </w:r>
      <w:r w:rsidR="00680F4A" w:rsidRPr="00500F57">
        <w:t xml:space="preserve"> </w:t>
      </w:r>
      <w:r w:rsidR="00DF624B">
        <w:t>T</w:t>
      </w:r>
      <w:r w:rsidR="00680F4A" w:rsidRPr="00500F57">
        <w:t xml:space="preserve">he potentially significant size of the </w:t>
      </w:r>
      <w:r w:rsidR="00342876" w:rsidRPr="00500F57">
        <w:t>active recreation</w:t>
      </w:r>
      <w:r w:rsidR="00680F4A" w:rsidRPr="00500F57">
        <w:t xml:space="preserve"> sector</w:t>
      </w:r>
      <w:r w:rsidR="00DF624B">
        <w:t>’s</w:t>
      </w:r>
      <w:r w:rsidR="00680F4A" w:rsidRPr="00500F57">
        <w:t xml:space="preserve"> </w:t>
      </w:r>
      <w:r w:rsidR="00DF624B" w:rsidRPr="00500F57">
        <w:t>economic and welfare contribution</w:t>
      </w:r>
      <w:r w:rsidR="00DF624B">
        <w:t>s</w:t>
      </w:r>
      <w:r w:rsidR="00DF624B" w:rsidRPr="00500F57">
        <w:t xml:space="preserve"> </w:t>
      </w:r>
      <w:r w:rsidR="00680F4A" w:rsidRPr="00500F57">
        <w:t>in Victoria means</w:t>
      </w:r>
      <w:r w:rsidR="00404214">
        <w:t xml:space="preserve"> that</w:t>
      </w:r>
      <w:r w:rsidR="00680F4A" w:rsidRPr="00500F57">
        <w:t xml:space="preserve"> </w:t>
      </w:r>
      <w:r w:rsidR="00DF624B">
        <w:t>the sector</w:t>
      </w:r>
      <w:r w:rsidR="00DF624B" w:rsidRPr="00500F57">
        <w:t xml:space="preserve"> </w:t>
      </w:r>
      <w:r w:rsidR="00680F4A" w:rsidRPr="00500F57">
        <w:t>warrants further attention.</w:t>
      </w:r>
      <w:r w:rsidR="00D55005" w:rsidRPr="00500F57">
        <w:t xml:space="preserve"> </w:t>
      </w:r>
      <w:r w:rsidR="00680F4A" w:rsidRPr="00500F57">
        <w:t>This report starts to build an evidence</w:t>
      </w:r>
      <w:r w:rsidR="00404214">
        <w:t>-</w:t>
      </w:r>
      <w:r w:rsidR="00680F4A" w:rsidRPr="00500F57">
        <w:t xml:space="preserve">based case for additional research into how the sector can be developed to make an even greater contribution to Victoria’s economy and </w:t>
      </w:r>
      <w:r w:rsidR="00342876" w:rsidRPr="00500F57">
        <w:t xml:space="preserve">the health, wellbeing and productivity of its population </w:t>
      </w:r>
      <w:r w:rsidR="00680F4A" w:rsidRPr="00500F57">
        <w:t>in the future.</w:t>
      </w:r>
    </w:p>
    <w:p w:rsidR="00EC7043" w:rsidRPr="00500F57" w:rsidRDefault="00B34C17" w:rsidP="002F27A9">
      <w:pPr>
        <w:pStyle w:val="Heading1"/>
      </w:pPr>
      <w:bookmarkStart w:id="86" w:name="_Toc431564049"/>
      <w:bookmarkStart w:id="87" w:name="_Toc477964698"/>
      <w:bookmarkStart w:id="88" w:name="_Toc516050186"/>
      <w:r>
        <w:lastRenderedPageBreak/>
        <w:t>Appendix</w:t>
      </w:r>
      <w:r w:rsidR="00EC7043" w:rsidRPr="00500F57">
        <w:t xml:space="preserve"> A:</w:t>
      </w:r>
      <w:r w:rsidR="00D55005" w:rsidRPr="00500F57">
        <w:t xml:space="preserve"> </w:t>
      </w:r>
      <w:r w:rsidR="00163A7B" w:rsidRPr="00500F57">
        <w:t>Glossary of terms</w:t>
      </w:r>
      <w:bookmarkEnd w:id="86"/>
      <w:bookmarkEnd w:id="87"/>
      <w:bookmarkEnd w:id="88"/>
    </w:p>
    <w:p w:rsidR="00B34C17" w:rsidRDefault="00B34C17" w:rsidP="002F27A9">
      <w:r w:rsidRPr="00B34C17">
        <w:t xml:space="preserve">This glossary adopts many of the definitions provided in </w:t>
      </w:r>
      <w:proofErr w:type="spellStart"/>
      <w:r w:rsidRPr="00B34C17">
        <w:t>Briceno</w:t>
      </w:r>
      <w:proofErr w:type="spellEnd"/>
      <w:r w:rsidRPr="00B34C17">
        <w:t xml:space="preserve"> &amp; </w:t>
      </w:r>
      <w:proofErr w:type="spellStart"/>
      <w:r w:rsidRPr="00B34C17">
        <w:t>Schundler</w:t>
      </w:r>
      <w:proofErr w:type="spellEnd"/>
      <w:r w:rsidRPr="00B34C17">
        <w:t xml:space="preserve"> (2015), VicHealth (2016 and Commonwealth of Australia (2011)</w:t>
      </w:r>
      <w:r>
        <w:t>.</w:t>
      </w:r>
    </w:p>
    <w:p w:rsidR="00D55005" w:rsidRPr="00500F57" w:rsidRDefault="00307165" w:rsidP="002F27A9">
      <w:r w:rsidRPr="00500F57">
        <w:rPr>
          <w:b/>
        </w:rPr>
        <w:t>Active recreation</w:t>
      </w:r>
      <w:r w:rsidR="00CB7A2E" w:rsidRPr="00500F57">
        <w:t xml:space="preserve"> </w:t>
      </w:r>
      <w:r w:rsidR="00902EC4" w:rsidRPr="00500F57">
        <w:t xml:space="preserve">activities </w:t>
      </w:r>
      <w:r w:rsidR="00CB7A2E" w:rsidRPr="00500F57">
        <w:t>are those engaged in for the purpose of relaxation, health and wellbeing or enjoyment</w:t>
      </w:r>
      <w:r w:rsidR="00B554F3">
        <w:t xml:space="preserve">, in which </w:t>
      </w:r>
      <w:r w:rsidR="00CB7A2E" w:rsidRPr="00500F57">
        <w:t>the primary activity requir</w:t>
      </w:r>
      <w:r w:rsidR="00B554F3">
        <w:t>es</w:t>
      </w:r>
      <w:r w:rsidR="00CB7A2E" w:rsidRPr="00500F57">
        <w:t xml:space="preserve"> physical exertion and the primary focus</w:t>
      </w:r>
      <w:r w:rsidR="00B554F3">
        <w:t xml:space="preserve"> is</w:t>
      </w:r>
      <w:r w:rsidR="00CB7A2E" w:rsidRPr="00500F57">
        <w:t xml:space="preserve"> on human activity. It excludes </w:t>
      </w:r>
      <w:r w:rsidR="00534EBB" w:rsidRPr="00500F57">
        <w:t xml:space="preserve">competition </w:t>
      </w:r>
      <w:r w:rsidR="00CB7A2E" w:rsidRPr="00500F57">
        <w:t>sport and active travel.</w:t>
      </w:r>
    </w:p>
    <w:p w:rsidR="001E7425" w:rsidRPr="00500F57" w:rsidRDefault="001E7425" w:rsidP="002F27A9">
      <w:r w:rsidRPr="00500F57">
        <w:rPr>
          <w:b/>
        </w:rPr>
        <w:t xml:space="preserve">Active travel </w:t>
      </w:r>
      <w:r w:rsidRPr="00500F57">
        <w:t>is non-motorised transport between destinations</w:t>
      </w:r>
      <w:r w:rsidR="00B554F3">
        <w:t>,</w:t>
      </w:r>
      <w:r w:rsidRPr="00500F57">
        <w:t xml:space="preserve"> such as </w:t>
      </w:r>
      <w:r w:rsidR="00B554F3">
        <w:t xml:space="preserve">by </w:t>
      </w:r>
      <w:r w:rsidRPr="00500F57">
        <w:t xml:space="preserve">walking, cycling, scooting </w:t>
      </w:r>
      <w:r w:rsidR="00DF624B">
        <w:t>or</w:t>
      </w:r>
      <w:r w:rsidR="00DF624B" w:rsidRPr="00500F57">
        <w:t xml:space="preserve"> </w:t>
      </w:r>
      <w:r w:rsidRPr="00500F57">
        <w:t>skateboarding</w:t>
      </w:r>
      <w:r w:rsidR="00B554F3">
        <w:t>.</w:t>
      </w:r>
    </w:p>
    <w:p w:rsidR="008472D9" w:rsidRPr="00881F0A" w:rsidRDefault="008472D9" w:rsidP="002F27A9">
      <w:r w:rsidRPr="00881F0A">
        <w:rPr>
          <w:b/>
        </w:rPr>
        <w:t>Disability-adjusted life years</w:t>
      </w:r>
      <w:r w:rsidRPr="00881F0A">
        <w:t xml:space="preserve"> (DALY</w:t>
      </w:r>
      <w:r w:rsidR="00B554F3" w:rsidRPr="00881F0A">
        <w:t>s</w:t>
      </w:r>
      <w:r w:rsidRPr="00881F0A">
        <w:t>) are a measure of overall disease burden, expressed as the number of years of healthy life lost due to ill-health, disability or early death.</w:t>
      </w:r>
    </w:p>
    <w:p w:rsidR="00D55005" w:rsidRPr="00500F57" w:rsidRDefault="005677D1" w:rsidP="002F27A9">
      <w:r w:rsidRPr="00500F57">
        <w:rPr>
          <w:rFonts w:cs="Calibri"/>
          <w:b/>
          <w:iCs/>
        </w:rPr>
        <w:t xml:space="preserve">Direct </w:t>
      </w:r>
      <w:r w:rsidR="00B554F3">
        <w:rPr>
          <w:rFonts w:cs="Calibri"/>
          <w:b/>
          <w:iCs/>
        </w:rPr>
        <w:t>c</w:t>
      </w:r>
      <w:r w:rsidRPr="00500F57">
        <w:rPr>
          <w:rFonts w:cs="Calibri"/>
          <w:b/>
          <w:iCs/>
        </w:rPr>
        <w:t>ontribution</w:t>
      </w:r>
      <w:r w:rsidRPr="000F0AFD">
        <w:rPr>
          <w:rFonts w:cs="Calibri"/>
          <w:iCs/>
        </w:rPr>
        <w:t xml:space="preserve"> </w:t>
      </w:r>
      <w:r w:rsidR="00B554F3" w:rsidRPr="000F0AFD">
        <w:rPr>
          <w:rFonts w:cs="Calibri"/>
          <w:iCs/>
        </w:rPr>
        <w:t xml:space="preserve">is the </w:t>
      </w:r>
      <w:r w:rsidRPr="00500F57">
        <w:t>direct sales or margins of sales associated with initial expenditure. Some expenditures are assumed to translate into purchases made outside the state.</w:t>
      </w:r>
    </w:p>
    <w:p w:rsidR="001500E6" w:rsidRPr="00500F57" w:rsidRDefault="001500E6" w:rsidP="002F27A9">
      <w:r w:rsidRPr="00500F57">
        <w:rPr>
          <w:b/>
        </w:rPr>
        <w:t>Domestic day</w:t>
      </w:r>
      <w:r w:rsidR="00B554F3">
        <w:rPr>
          <w:b/>
        </w:rPr>
        <w:t>-</w:t>
      </w:r>
      <w:r w:rsidRPr="00500F57">
        <w:rPr>
          <w:b/>
        </w:rPr>
        <w:t>trip visitors</w:t>
      </w:r>
      <w:r w:rsidRPr="00500F57">
        <w:t xml:space="preserve"> are those people who travel for a round</w:t>
      </w:r>
      <w:r w:rsidR="00B554F3">
        <w:t>-</w:t>
      </w:r>
      <w:r w:rsidRPr="00500F57">
        <w:t>trip distance of at least 5</w:t>
      </w:r>
      <w:r w:rsidR="00D55005" w:rsidRPr="00500F57">
        <w:t>0 k</w:t>
      </w:r>
      <w:r w:rsidRPr="00500F57">
        <w:t>ilometres and who do not spend a night away from home as part of their travel. Same</w:t>
      </w:r>
      <w:r w:rsidR="00B554F3">
        <w:t>-</w:t>
      </w:r>
      <w:r w:rsidRPr="00500F57">
        <w:t>day travel as part of overnight travel is excluded.</w:t>
      </w:r>
    </w:p>
    <w:p w:rsidR="00D55005" w:rsidRPr="00500F57" w:rsidRDefault="001500E6" w:rsidP="002F27A9">
      <w:r w:rsidRPr="00500F57">
        <w:rPr>
          <w:b/>
        </w:rPr>
        <w:t>Domestic overnight visitors</w:t>
      </w:r>
      <w:r w:rsidRPr="00500F57">
        <w:t xml:space="preserve"> are people aged 1</w:t>
      </w:r>
      <w:r w:rsidR="00D55005" w:rsidRPr="00500F57">
        <w:t>5 y</w:t>
      </w:r>
      <w:r w:rsidRPr="00500F57">
        <w:t xml:space="preserve">ears </w:t>
      </w:r>
      <w:r w:rsidR="00A20A9E">
        <w:t>or</w:t>
      </w:r>
      <w:r w:rsidR="00A20A9E" w:rsidRPr="00500F57">
        <w:t xml:space="preserve"> </w:t>
      </w:r>
      <w:r w:rsidRPr="00500F57">
        <w:t xml:space="preserve">over who undertake an overnight trip of </w:t>
      </w:r>
      <w:r w:rsidR="006078E4" w:rsidRPr="00500F57">
        <w:t>one night or more and at least 5</w:t>
      </w:r>
      <w:r w:rsidR="00D55005" w:rsidRPr="00500F57">
        <w:t>0 k</w:t>
      </w:r>
      <w:r w:rsidRPr="00500F57">
        <w:t>ilometres away from home.</w:t>
      </w:r>
    </w:p>
    <w:p w:rsidR="00D55005" w:rsidRPr="00500F57" w:rsidRDefault="005677D1" w:rsidP="002F27A9">
      <w:r w:rsidRPr="00500F57">
        <w:rPr>
          <w:b/>
        </w:rPr>
        <w:t>Economic activity</w:t>
      </w:r>
      <w:r w:rsidRPr="00500F57">
        <w:t xml:space="preserve"> refers to different types of economic exchanges as they circulate through a region’s economy. In this study, the direct, indirect and induced contributions represent total economic activity (</w:t>
      </w:r>
      <w:r w:rsidR="00A20A9E">
        <w:t>such as</w:t>
      </w:r>
      <w:r w:rsidRPr="00500F57">
        <w:t xml:space="preserve"> sales, production and consumption of goods and services, employment</w:t>
      </w:r>
      <w:r w:rsidR="00A20A9E">
        <w:t xml:space="preserve"> and</w:t>
      </w:r>
      <w:r w:rsidRPr="00500F57">
        <w:t xml:space="preserve"> tax payments) associated with </w:t>
      </w:r>
      <w:r w:rsidR="005D6D50" w:rsidRPr="00500F57">
        <w:t>active recreation</w:t>
      </w:r>
      <w:r w:rsidRPr="00500F57">
        <w:t>. Gross state product (GSP) is a common measure of Victorian economic activity.</w:t>
      </w:r>
    </w:p>
    <w:p w:rsidR="00D55005" w:rsidRPr="00500F57" w:rsidRDefault="005677D1" w:rsidP="002F27A9">
      <w:r w:rsidRPr="00500F57">
        <w:rPr>
          <w:rFonts w:cs="Calibri"/>
          <w:b/>
          <w:iCs/>
        </w:rPr>
        <w:t xml:space="preserve">Economic </w:t>
      </w:r>
      <w:r w:rsidR="00A20A9E">
        <w:rPr>
          <w:rFonts w:cs="Calibri"/>
          <w:b/>
          <w:iCs/>
        </w:rPr>
        <w:t>b</w:t>
      </w:r>
      <w:r w:rsidRPr="00500F57">
        <w:rPr>
          <w:rFonts w:cs="Calibri"/>
          <w:b/>
          <w:iCs/>
        </w:rPr>
        <w:t>enefit</w:t>
      </w:r>
      <w:r w:rsidRPr="00500F57">
        <w:rPr>
          <w:rFonts w:cs="Calibri"/>
          <w:i/>
          <w:iCs/>
        </w:rPr>
        <w:t xml:space="preserve"> </w:t>
      </w:r>
      <w:r w:rsidRPr="00500F57">
        <w:t xml:space="preserve">is the wellbeing a consumer gains as a result of </w:t>
      </w:r>
      <w:r w:rsidR="00A20A9E">
        <w:t>their</w:t>
      </w:r>
      <w:r w:rsidR="00A20A9E" w:rsidRPr="00500F57">
        <w:t xml:space="preserve"> </w:t>
      </w:r>
      <w:r w:rsidRPr="00500F57">
        <w:t>consumption of a specific good or service, expressed in monetary terms. This is also known as consumer surplus.</w:t>
      </w:r>
      <w:r w:rsidR="00D55005" w:rsidRPr="00500F57">
        <w:t xml:space="preserve"> </w:t>
      </w:r>
      <w:r w:rsidRPr="00500F57">
        <w:t xml:space="preserve">It is the difference between the maximum amount a person is willing to pay to get a good or service and what they actually </w:t>
      </w:r>
      <w:r w:rsidR="00A20A9E">
        <w:t>have</w:t>
      </w:r>
      <w:r w:rsidRPr="00500F57">
        <w:t xml:space="preserve"> to pay.</w:t>
      </w:r>
    </w:p>
    <w:p w:rsidR="00D55005" w:rsidRPr="00500F57" w:rsidRDefault="005677D1" w:rsidP="002F27A9">
      <w:r w:rsidRPr="00500F57">
        <w:rPr>
          <w:rFonts w:cs="Calibri"/>
          <w:b/>
          <w:iCs/>
        </w:rPr>
        <w:t xml:space="preserve">Economic </w:t>
      </w:r>
      <w:r w:rsidR="00A20A9E">
        <w:rPr>
          <w:rFonts w:cs="Calibri"/>
          <w:b/>
          <w:iCs/>
        </w:rPr>
        <w:t>i</w:t>
      </w:r>
      <w:r w:rsidRPr="00500F57">
        <w:rPr>
          <w:rFonts w:cs="Calibri"/>
          <w:b/>
          <w:iCs/>
        </w:rPr>
        <w:t>mpact</w:t>
      </w:r>
      <w:r w:rsidRPr="00500F57">
        <w:rPr>
          <w:rFonts w:cs="Calibri"/>
          <w:i/>
          <w:iCs/>
        </w:rPr>
        <w:t xml:space="preserve"> </w:t>
      </w:r>
      <w:r w:rsidR="00A20A9E">
        <w:t>is</w:t>
      </w:r>
      <w:r w:rsidR="00A20A9E" w:rsidRPr="00500F57">
        <w:t xml:space="preserve"> </w:t>
      </w:r>
      <w:r w:rsidRPr="00500F57">
        <w:t xml:space="preserve">the net change in Victorian economic activity that </w:t>
      </w:r>
      <w:r w:rsidR="00A20A9E">
        <w:t>is</w:t>
      </w:r>
      <w:r w:rsidR="00A20A9E" w:rsidRPr="00500F57">
        <w:t xml:space="preserve"> </w:t>
      </w:r>
      <w:r w:rsidRPr="00500F57">
        <w:t>generated by an industry sector (</w:t>
      </w:r>
      <w:r w:rsidR="00A20A9E">
        <w:t xml:space="preserve">in this case, the </w:t>
      </w:r>
      <w:r w:rsidR="00534EBB" w:rsidRPr="00500F57">
        <w:t xml:space="preserve">active recreation </w:t>
      </w:r>
      <w:r w:rsidR="00A20A9E">
        <w:t>sector</w:t>
      </w:r>
      <w:r w:rsidRPr="00500F57">
        <w:t>).</w:t>
      </w:r>
    </w:p>
    <w:p w:rsidR="00D55005" w:rsidRPr="00500F57" w:rsidRDefault="005677D1" w:rsidP="002F27A9">
      <w:r w:rsidRPr="000B2DE4">
        <w:rPr>
          <w:rFonts w:cs="Calibri"/>
          <w:b/>
          <w:iCs/>
        </w:rPr>
        <w:t xml:space="preserve">Economic </w:t>
      </w:r>
      <w:r w:rsidR="00A20A9E">
        <w:rPr>
          <w:rFonts w:cs="Calibri"/>
          <w:b/>
          <w:iCs/>
        </w:rPr>
        <w:t>l</w:t>
      </w:r>
      <w:r w:rsidRPr="000B2DE4">
        <w:rPr>
          <w:rFonts w:cs="Calibri"/>
          <w:b/>
          <w:iCs/>
        </w:rPr>
        <w:t>eakage</w:t>
      </w:r>
      <w:r w:rsidRPr="00500F57">
        <w:rPr>
          <w:rFonts w:cs="Calibri"/>
          <w:b/>
          <w:iCs/>
        </w:rPr>
        <w:t xml:space="preserve"> </w:t>
      </w:r>
      <w:r w:rsidRPr="00500F57">
        <w:t>is money that leaves a regional economy when an expenditure is made by a consumer. Leakages generally happen because some of the expenditures for goods and services used in the regional economy (for example</w:t>
      </w:r>
      <w:r w:rsidR="00A20A9E">
        <w:t>,</w:t>
      </w:r>
      <w:r w:rsidRPr="00500F57">
        <w:t xml:space="preserve"> petrol) is made </w:t>
      </w:r>
      <w:r w:rsidR="00A20A9E">
        <w:t xml:space="preserve">or acquired from </w:t>
      </w:r>
      <w:r w:rsidRPr="00500F57">
        <w:t>outside the local economy</w:t>
      </w:r>
      <w:r w:rsidR="00A20A9E">
        <w:t>. T</w:t>
      </w:r>
      <w:r w:rsidRPr="00500F57">
        <w:t xml:space="preserve">he person selling the </w:t>
      </w:r>
      <w:r w:rsidR="00A20A9E">
        <w:t>good in</w:t>
      </w:r>
      <w:r w:rsidRPr="00500F57">
        <w:t xml:space="preserve"> the regional economy has to send money outside </w:t>
      </w:r>
      <w:r w:rsidR="00A20A9E">
        <w:t>that</w:t>
      </w:r>
      <w:r w:rsidRPr="00500F57">
        <w:t xml:space="preserve"> economy to pay for </w:t>
      </w:r>
      <w:r w:rsidR="00A20A9E">
        <w:t>it or to buy inputs</w:t>
      </w:r>
      <w:r w:rsidRPr="00500F57">
        <w:t>.</w:t>
      </w:r>
    </w:p>
    <w:p w:rsidR="00D55005" w:rsidRPr="00500F57" w:rsidRDefault="005677D1" w:rsidP="002F27A9">
      <w:r w:rsidRPr="00500F57">
        <w:rPr>
          <w:rFonts w:cs="Calibri"/>
          <w:b/>
          <w:iCs/>
        </w:rPr>
        <w:lastRenderedPageBreak/>
        <w:t xml:space="preserve">Economic </w:t>
      </w:r>
      <w:r w:rsidR="00A20A9E">
        <w:rPr>
          <w:rFonts w:cs="Calibri"/>
          <w:b/>
          <w:iCs/>
        </w:rPr>
        <w:t>m</w:t>
      </w:r>
      <w:r w:rsidRPr="00500F57">
        <w:rPr>
          <w:rFonts w:cs="Calibri"/>
          <w:b/>
          <w:iCs/>
        </w:rPr>
        <w:t>ultiplier</w:t>
      </w:r>
      <w:r w:rsidRPr="00500F57">
        <w:rPr>
          <w:rFonts w:cs="Calibri"/>
          <w:i/>
          <w:iCs/>
        </w:rPr>
        <w:t xml:space="preserve"> </w:t>
      </w:r>
      <w:r w:rsidRPr="00500F57">
        <w:t xml:space="preserve">in this report </w:t>
      </w:r>
      <w:r w:rsidR="00A20A9E">
        <w:t>is</w:t>
      </w:r>
      <w:r w:rsidRPr="00500F57">
        <w:t xml:space="preserve"> the ratio between initial expenditures and total economic contribution (also called the Keynesian multiplier). It shows how initial expenditures generate additional economic activity as the initial money is re-spent by other businesses and workers. </w:t>
      </w:r>
      <w:r w:rsidR="00A20A9E">
        <w:t>For example, a</w:t>
      </w:r>
      <w:r w:rsidRPr="00500F57">
        <w:t xml:space="preserve"> hotel is paid $150 to house an </w:t>
      </w:r>
      <w:r w:rsidR="00534EBB" w:rsidRPr="00500F57">
        <w:t xml:space="preserve">active recreation </w:t>
      </w:r>
      <w:r w:rsidRPr="00500F57">
        <w:t>participant for the night. The hotel owner keeps $15 as profit, employees are paid $85</w:t>
      </w:r>
      <w:r w:rsidR="00A20A9E">
        <w:t>,</w:t>
      </w:r>
      <w:r w:rsidRPr="00500F57">
        <w:t xml:space="preserve"> and $50 </w:t>
      </w:r>
      <w:r w:rsidR="00A20A9E">
        <w:t>is</w:t>
      </w:r>
      <w:r w:rsidR="00A20A9E" w:rsidRPr="00500F57">
        <w:t xml:space="preserve"> </w:t>
      </w:r>
      <w:r w:rsidRPr="00500F57">
        <w:t>spent importing goods from outside Victoria.</w:t>
      </w:r>
      <w:r w:rsidR="00A20A9E">
        <w:t xml:space="preserve"> </w:t>
      </w:r>
      <w:r w:rsidRPr="00500F57">
        <w:t>The employees spend $85 on food. Most of the food is imported from outside Victoria</w:t>
      </w:r>
      <w:r w:rsidR="00A20A9E">
        <w:t>,</w:t>
      </w:r>
      <w:r w:rsidRPr="00500F57">
        <w:t xml:space="preserve"> so only $10 of the expenditure goes to wages and profit for the grocery store.</w:t>
      </w:r>
      <w:r w:rsidR="00A20A9E">
        <w:t xml:space="preserve"> </w:t>
      </w:r>
      <w:r w:rsidRPr="00500F57">
        <w:t xml:space="preserve">The hotel owner sends her $15 to </w:t>
      </w:r>
      <w:r w:rsidR="00534EBB" w:rsidRPr="00500F57">
        <w:t xml:space="preserve">her </w:t>
      </w:r>
      <w:r w:rsidRPr="00500F57">
        <w:t>daughter in Western Australia</w:t>
      </w:r>
      <w:r w:rsidR="00A20A9E">
        <w:t>,</w:t>
      </w:r>
      <w:r w:rsidRPr="00500F57">
        <w:t xml:space="preserve"> which creates no further economic activity in Victoria (this is called economic leakage).</w:t>
      </w:r>
      <w:r w:rsidR="00A20A9E">
        <w:t xml:space="preserve"> </w:t>
      </w:r>
      <w:r w:rsidRPr="00500F57">
        <w:t>Based on the</w:t>
      </w:r>
      <w:r w:rsidR="00A20A9E">
        <w:t>se</w:t>
      </w:r>
      <w:r w:rsidRPr="00500F57">
        <w:t xml:space="preserve"> transactions</w:t>
      </w:r>
      <w:r w:rsidR="00A20A9E">
        <w:t>,</w:t>
      </w:r>
      <w:r w:rsidRPr="00500F57">
        <w:t xml:space="preserve"> there has been $110 ($15 profit + $85 wages + $10 to </w:t>
      </w:r>
      <w:r w:rsidR="00A20A9E">
        <w:t xml:space="preserve">the </w:t>
      </w:r>
      <w:r w:rsidRPr="00500F57">
        <w:t>grocery store) of economic activity in Victoria from the initial $150. If no further activity occurs</w:t>
      </w:r>
      <w:r w:rsidR="00A20A9E">
        <w:t>,</w:t>
      </w:r>
      <w:r w:rsidRPr="00500F57">
        <w:t xml:space="preserve"> the economic contribution multiplier is</w:t>
      </w:r>
      <w:r w:rsidR="00A81026" w:rsidRPr="00500F57">
        <w:t xml:space="preserve"> </w:t>
      </w:r>
      <w:r w:rsidR="00A20A9E">
        <w:t>0</w:t>
      </w:r>
      <w:r w:rsidRPr="00500F57">
        <w:t>.73 (110 divided by 150).</w:t>
      </w:r>
    </w:p>
    <w:p w:rsidR="005677D1" w:rsidRPr="00500F57" w:rsidRDefault="005677D1" w:rsidP="002F27A9">
      <w:r w:rsidRPr="00500F57">
        <w:rPr>
          <w:b/>
        </w:rPr>
        <w:t>Employment</w:t>
      </w:r>
      <w:r w:rsidRPr="00500F57">
        <w:t xml:space="preserve"> is the number of full</w:t>
      </w:r>
      <w:r w:rsidR="00A20A9E">
        <w:t>-</w:t>
      </w:r>
      <w:r w:rsidRPr="00500F57">
        <w:t xml:space="preserve">time equivalent (FTE) jobs generated and/or supported in the creation of local </w:t>
      </w:r>
      <w:r w:rsidR="00A20A9E">
        <w:t>g</w:t>
      </w:r>
      <w:r w:rsidRPr="00500F57">
        <w:t xml:space="preserve">ross economic output and </w:t>
      </w:r>
      <w:r w:rsidR="00A20A9E">
        <w:t>g</w:t>
      </w:r>
      <w:r w:rsidRPr="00500F57">
        <w:t>ross value</w:t>
      </w:r>
      <w:r w:rsidR="00A20A9E">
        <w:t xml:space="preserve"> </w:t>
      </w:r>
      <w:r w:rsidRPr="00500F57">
        <w:t>added.</w:t>
      </w:r>
    </w:p>
    <w:p w:rsidR="001500E6" w:rsidRPr="00B62ACD" w:rsidRDefault="00CC2FA8" w:rsidP="002F27A9">
      <w:r w:rsidRPr="003A0D6F">
        <w:rPr>
          <w:b/>
        </w:rPr>
        <w:t>Expenditure</w:t>
      </w:r>
      <w:r w:rsidRPr="003A0D6F">
        <w:t xml:space="preserve"> this is the value of the </w:t>
      </w:r>
      <w:r w:rsidRPr="000F0AFD">
        <w:t>initial (direct) stimulus that is relevant to each industry</w:t>
      </w:r>
      <w:r w:rsidR="00A20A9E">
        <w:t>. I</w:t>
      </w:r>
      <w:r w:rsidRPr="00B62ACD">
        <w:t xml:space="preserve">t is expenditure by </w:t>
      </w:r>
      <w:r w:rsidR="00A20A9E">
        <w:t>g</w:t>
      </w:r>
      <w:r w:rsidRPr="003A0D6F">
        <w:t xml:space="preserve">overnments, businesses and individuals involved in </w:t>
      </w:r>
      <w:r w:rsidR="00534EBB" w:rsidRPr="00B62ACD">
        <w:t>active recreation.</w:t>
      </w:r>
    </w:p>
    <w:p w:rsidR="00CC2FA8" w:rsidRPr="00500F57" w:rsidRDefault="00CC2FA8" w:rsidP="002F27A9">
      <w:r w:rsidRPr="00500F57">
        <w:rPr>
          <w:b/>
        </w:rPr>
        <w:t>Gross economic output</w:t>
      </w:r>
      <w:r w:rsidRPr="00500F57">
        <w:t xml:space="preserve"> is a measure of </w:t>
      </w:r>
      <w:r w:rsidR="00A20A9E">
        <w:t xml:space="preserve">the </w:t>
      </w:r>
      <w:r w:rsidRPr="00500F57">
        <w:t xml:space="preserve">total production or expenditure in a local economy that is either directly or indirectly related </w:t>
      </w:r>
      <w:r w:rsidR="00534EBB" w:rsidRPr="00500F57">
        <w:t xml:space="preserve">to active recreation </w:t>
      </w:r>
      <w:r w:rsidRPr="00500F57">
        <w:t>expenditure.</w:t>
      </w:r>
      <w:r w:rsidR="00D55005" w:rsidRPr="00500F57">
        <w:t xml:space="preserve"> </w:t>
      </w:r>
      <w:r w:rsidRPr="00500F57">
        <w:t xml:space="preserve">It estimates how </w:t>
      </w:r>
      <w:r w:rsidR="00534EBB" w:rsidRPr="00500F57">
        <w:t>active recreation</w:t>
      </w:r>
      <w:r w:rsidRPr="00500F57">
        <w:t xml:space="preserve"> expenditure shifts through the Victorian economy to supply goods</w:t>
      </w:r>
      <w:r w:rsidR="00A20A9E">
        <w:t>,</w:t>
      </w:r>
      <w:r w:rsidRPr="00500F57">
        <w:t xml:space="preserve"> services, jobs</w:t>
      </w:r>
      <w:r w:rsidR="00A20A9E">
        <w:t>,</w:t>
      </w:r>
      <w:r w:rsidRPr="00500F57">
        <w:t xml:space="preserve"> incomes and taxation revenue.</w:t>
      </w:r>
    </w:p>
    <w:p w:rsidR="005677D1" w:rsidRPr="00500F57" w:rsidRDefault="00CC2FA8" w:rsidP="002F27A9">
      <w:r w:rsidRPr="00500F57">
        <w:rPr>
          <w:b/>
        </w:rPr>
        <w:t>Gross value</w:t>
      </w:r>
      <w:r w:rsidR="00A20A9E">
        <w:rPr>
          <w:b/>
        </w:rPr>
        <w:t xml:space="preserve"> </w:t>
      </w:r>
      <w:r w:rsidRPr="00500F57">
        <w:rPr>
          <w:b/>
        </w:rPr>
        <w:t>added</w:t>
      </w:r>
      <w:r w:rsidR="00A20A9E" w:rsidRPr="000F0AFD">
        <w:t xml:space="preserve"> (GVA)</w:t>
      </w:r>
      <w:r w:rsidRPr="003A0D6F">
        <w:t xml:space="preserve"> </w:t>
      </w:r>
      <w:r w:rsidRPr="00500F57">
        <w:t xml:space="preserve">is a subset of </w:t>
      </w:r>
      <w:r w:rsidR="00A20A9E">
        <w:t>g</w:t>
      </w:r>
      <w:r w:rsidRPr="00500F57">
        <w:t xml:space="preserve">ross economic output, as imported goods and services used to service incremental expenditures are excluded. </w:t>
      </w:r>
      <w:r w:rsidR="00A20A9E">
        <w:t>GVA</w:t>
      </w:r>
      <w:r w:rsidRPr="00500F57">
        <w:t xml:space="preserve"> includes local business profits and wages paid, and therefore represents economic returns on local capital and labour resources.</w:t>
      </w:r>
      <w:r w:rsidR="00D55005" w:rsidRPr="00500F57">
        <w:t xml:space="preserve"> </w:t>
      </w:r>
      <w:r w:rsidR="00A20A9E">
        <w:t>It</w:t>
      </w:r>
      <w:r w:rsidRPr="00500F57">
        <w:t xml:space="preserve"> measures </w:t>
      </w:r>
      <w:r w:rsidR="00A20A9E">
        <w:t xml:space="preserve">the </w:t>
      </w:r>
      <w:r w:rsidRPr="00500F57">
        <w:t xml:space="preserve">true contribution of </w:t>
      </w:r>
      <w:r w:rsidR="00534EBB" w:rsidRPr="00500F57">
        <w:t>active recreation</w:t>
      </w:r>
      <w:r w:rsidRPr="00500F57">
        <w:t xml:space="preserve"> to the Victorian economy, because it </w:t>
      </w:r>
      <w:r w:rsidRPr="00176E83">
        <w:t>backs out</w:t>
      </w:r>
      <w:r w:rsidRPr="00500F57">
        <w:t xml:space="preserve"> leakage out of the economy</w:t>
      </w:r>
      <w:r w:rsidR="00534EBB" w:rsidRPr="00500F57">
        <w:t>.</w:t>
      </w:r>
    </w:p>
    <w:p w:rsidR="00D55005" w:rsidRPr="00500F57" w:rsidRDefault="00CC2FA8" w:rsidP="002F27A9">
      <w:r w:rsidRPr="00500F57">
        <w:rPr>
          <w:rFonts w:cs="Calibri"/>
          <w:b/>
          <w:iCs/>
        </w:rPr>
        <w:t xml:space="preserve">Indirect </w:t>
      </w:r>
      <w:r w:rsidR="006D2AF3">
        <w:rPr>
          <w:rFonts w:cs="Calibri"/>
          <w:b/>
          <w:iCs/>
        </w:rPr>
        <w:t>c</w:t>
      </w:r>
      <w:r w:rsidRPr="00500F57">
        <w:rPr>
          <w:rFonts w:cs="Calibri"/>
          <w:b/>
          <w:iCs/>
        </w:rPr>
        <w:t>ontribution</w:t>
      </w:r>
      <w:r w:rsidR="006D2AF3">
        <w:rPr>
          <w:rFonts w:cs="Calibri"/>
          <w:b/>
          <w:iCs/>
        </w:rPr>
        <w:t>s</w:t>
      </w:r>
      <w:r w:rsidR="006D2AF3" w:rsidRPr="000F0AFD">
        <w:rPr>
          <w:rFonts w:cs="Calibri"/>
          <w:iCs/>
        </w:rPr>
        <w:t xml:space="preserve"> are</w:t>
      </w:r>
      <w:r w:rsidRPr="003A0D6F">
        <w:rPr>
          <w:rFonts w:cs="Calibri"/>
          <w:i/>
          <w:iCs/>
        </w:rPr>
        <w:t xml:space="preserve"> </w:t>
      </w:r>
      <w:r w:rsidRPr="00500F57">
        <w:t>s</w:t>
      </w:r>
      <w:r w:rsidR="00163A7B" w:rsidRPr="00500F57">
        <w:t>ales to the businesses where expenditures are made (</w:t>
      </w:r>
      <w:r w:rsidR="006D2AF3">
        <w:t xml:space="preserve">for example, for </w:t>
      </w:r>
      <w:r w:rsidR="00163A7B" w:rsidRPr="00500F57">
        <w:t>intermedia</w:t>
      </w:r>
      <w:r w:rsidR="006D2AF3">
        <w:t>te</w:t>
      </w:r>
      <w:r w:rsidR="00163A7B" w:rsidRPr="00500F57">
        <w:t xml:space="preserve"> inputs</w:t>
      </w:r>
      <w:r w:rsidR="0087111B" w:rsidRPr="00500F57">
        <w:t xml:space="preserve"> bought in the supply chain). For example, </w:t>
      </w:r>
      <w:r w:rsidR="00CD3606" w:rsidRPr="00500F57">
        <w:t>petrol stations purchasing petrol refined in Victoria produce a flow-on contribution to other parts of the Victorian economy</w:t>
      </w:r>
      <w:r w:rsidR="00163A7B" w:rsidRPr="00500F57">
        <w:t>.</w:t>
      </w:r>
    </w:p>
    <w:p w:rsidR="00D55005" w:rsidRPr="00500F57" w:rsidRDefault="00163A7B" w:rsidP="002F27A9">
      <w:r w:rsidRPr="00500F57">
        <w:rPr>
          <w:rFonts w:cs="Calibri"/>
          <w:b/>
          <w:iCs/>
        </w:rPr>
        <w:t xml:space="preserve">Induced </w:t>
      </w:r>
      <w:r w:rsidR="006D2AF3">
        <w:rPr>
          <w:rFonts w:cs="Calibri"/>
          <w:b/>
          <w:iCs/>
        </w:rPr>
        <w:t>c</w:t>
      </w:r>
      <w:r w:rsidRPr="00500F57">
        <w:rPr>
          <w:rFonts w:cs="Calibri"/>
          <w:b/>
          <w:iCs/>
        </w:rPr>
        <w:t>ontribution</w:t>
      </w:r>
      <w:r w:rsidR="006D2AF3">
        <w:rPr>
          <w:rFonts w:cs="Calibri"/>
          <w:b/>
          <w:iCs/>
        </w:rPr>
        <w:t>s</w:t>
      </w:r>
      <w:r w:rsidR="006D2AF3" w:rsidRPr="000F0AFD">
        <w:rPr>
          <w:rFonts w:cs="Calibri"/>
          <w:iCs/>
        </w:rPr>
        <w:t xml:space="preserve"> are</w:t>
      </w:r>
      <w:r w:rsidR="00CC2FA8" w:rsidRPr="003A0D6F">
        <w:rPr>
          <w:rFonts w:cs="Calibri"/>
          <w:i/>
          <w:iCs/>
        </w:rPr>
        <w:t xml:space="preserve"> </w:t>
      </w:r>
      <w:r w:rsidR="00CC2FA8" w:rsidRPr="00500F57">
        <w:t>s</w:t>
      </w:r>
      <w:r w:rsidRPr="00500F57">
        <w:t>ales of goods and services purchased by employees of directly and indirectly a</w:t>
      </w:r>
      <w:r w:rsidR="00CD3606" w:rsidRPr="00500F57">
        <w:t>ffected businesses. A ski-field</w:t>
      </w:r>
      <w:r w:rsidRPr="00500F57">
        <w:t xml:space="preserve"> employee </w:t>
      </w:r>
      <w:r w:rsidR="006D2AF3">
        <w:t>who</w:t>
      </w:r>
      <w:r w:rsidR="006D2AF3" w:rsidRPr="00500F57">
        <w:t xml:space="preserve"> </w:t>
      </w:r>
      <w:r w:rsidRPr="00500F57">
        <w:t xml:space="preserve">buys milk </w:t>
      </w:r>
      <w:r w:rsidR="00CD3606" w:rsidRPr="00500F57">
        <w:t xml:space="preserve">from </w:t>
      </w:r>
      <w:r w:rsidR="0023082F" w:rsidRPr="00500F57">
        <w:t>Gippsland</w:t>
      </w:r>
      <w:r w:rsidR="00CD3606" w:rsidRPr="00500F57">
        <w:t xml:space="preserve"> using income they earned in the </w:t>
      </w:r>
      <w:r w:rsidR="00534EBB" w:rsidRPr="00500F57">
        <w:t>active recreation</w:t>
      </w:r>
      <w:r w:rsidR="00CD3606" w:rsidRPr="00500F57">
        <w:t xml:space="preserve"> sector </w:t>
      </w:r>
      <w:r w:rsidRPr="00500F57">
        <w:t xml:space="preserve">is creating an induced contribution for the </w:t>
      </w:r>
      <w:r w:rsidR="00CD3606" w:rsidRPr="00500F57">
        <w:t>Victorian economy.</w:t>
      </w:r>
    </w:p>
    <w:p w:rsidR="005677D1" w:rsidRPr="00500F57" w:rsidRDefault="005677D1" w:rsidP="002F27A9">
      <w:r w:rsidRPr="00500F57">
        <w:rPr>
          <w:b/>
        </w:rPr>
        <w:t>Interstate visitor</w:t>
      </w:r>
      <w:r w:rsidR="006D2AF3">
        <w:rPr>
          <w:b/>
        </w:rPr>
        <w:t xml:space="preserve"> nights</w:t>
      </w:r>
      <w:r w:rsidRPr="00500F57">
        <w:t xml:space="preserve"> </w:t>
      </w:r>
      <w:r w:rsidR="006D2AF3">
        <w:t>are</w:t>
      </w:r>
      <w:r w:rsidRPr="00500F57">
        <w:t xml:space="preserve"> night</w:t>
      </w:r>
      <w:r w:rsidR="006D2AF3">
        <w:t xml:space="preserve">s spent by visitors in states or territories in which they do not normally </w:t>
      </w:r>
      <w:r w:rsidRPr="00500F57">
        <w:t>reside.</w:t>
      </w:r>
    </w:p>
    <w:p w:rsidR="008472D9" w:rsidRPr="00500F57" w:rsidRDefault="008472D9" w:rsidP="002F27A9">
      <w:pPr>
        <w:rPr>
          <w:rFonts w:cs="Calibri"/>
          <w:b/>
          <w:iCs/>
        </w:rPr>
      </w:pPr>
      <w:r w:rsidRPr="00500F57">
        <w:rPr>
          <w:b/>
        </w:rPr>
        <w:t>Metabolic equivalent</w:t>
      </w:r>
      <w:r w:rsidR="006D2AF3">
        <w:rPr>
          <w:b/>
        </w:rPr>
        <w:t xml:space="preserve"> of task</w:t>
      </w:r>
      <w:r w:rsidRPr="000F0AFD">
        <w:t xml:space="preserve"> (MET)</w:t>
      </w:r>
      <w:r w:rsidRPr="003A0D6F">
        <w:t xml:space="preserve"> </w:t>
      </w:r>
      <w:r w:rsidRPr="00500F57">
        <w:t xml:space="preserve">is a physiological measure expressing the energy cost (or calories) of physical activities. One MET is the energy expended by an individual while seated at rest. While </w:t>
      </w:r>
      <w:r w:rsidR="008842C8">
        <w:t xml:space="preserve">the person is </w:t>
      </w:r>
      <w:r w:rsidRPr="00500F57">
        <w:t xml:space="preserve">exercising, the MET is the energy expended compared to </w:t>
      </w:r>
      <w:r w:rsidR="006D2AF3">
        <w:t>that spen</w:t>
      </w:r>
      <w:r w:rsidR="008842C8">
        <w:t>t</w:t>
      </w:r>
      <w:r w:rsidR="006D2AF3">
        <w:t xml:space="preserve"> at </w:t>
      </w:r>
      <w:r w:rsidRPr="00500F57">
        <w:t>rest</w:t>
      </w:r>
      <w:r w:rsidR="006D2AF3">
        <w:t>,</w:t>
      </w:r>
      <w:r w:rsidRPr="00500F57">
        <w:t xml:space="preserve"> so MET values indicate the intensity</w:t>
      </w:r>
      <w:r w:rsidR="006D2AF3">
        <w:t xml:space="preserve"> of the activity</w:t>
      </w:r>
      <w:r w:rsidRPr="00500F57">
        <w:t xml:space="preserve">. An activity with a MET value of 5 means </w:t>
      </w:r>
      <w:r w:rsidR="006D2AF3">
        <w:t xml:space="preserve">that the person is </w:t>
      </w:r>
      <w:r w:rsidRPr="00500F57">
        <w:t xml:space="preserve">expending </w:t>
      </w:r>
      <w:r w:rsidR="008842C8">
        <w:t>five</w:t>
      </w:r>
      <w:r w:rsidRPr="00500F57">
        <w:t xml:space="preserve"> times the energy (</w:t>
      </w:r>
      <w:r w:rsidR="006D2AF3">
        <w:t xml:space="preserve">or </w:t>
      </w:r>
      <w:r w:rsidRPr="00500F57">
        <w:t xml:space="preserve">number of calories) </w:t>
      </w:r>
      <w:r w:rsidR="006D2AF3">
        <w:t>that they</w:t>
      </w:r>
      <w:r w:rsidRPr="00500F57">
        <w:t xml:space="preserve"> would </w:t>
      </w:r>
      <w:r w:rsidR="006D2AF3">
        <w:t xml:space="preserve">when </w:t>
      </w:r>
      <w:r w:rsidRPr="00500F57">
        <w:t>at rest.</w:t>
      </w:r>
    </w:p>
    <w:p w:rsidR="00D55005" w:rsidRPr="00500F57" w:rsidRDefault="005677D1" w:rsidP="002F27A9">
      <w:r w:rsidRPr="00500F57">
        <w:rPr>
          <w:rFonts w:cs="Calibri"/>
          <w:b/>
          <w:iCs/>
        </w:rPr>
        <w:t xml:space="preserve">Participant </w:t>
      </w:r>
      <w:r w:rsidR="006D2AF3">
        <w:rPr>
          <w:rFonts w:cs="Calibri"/>
          <w:b/>
          <w:iCs/>
        </w:rPr>
        <w:t>d</w:t>
      </w:r>
      <w:r w:rsidRPr="00500F57">
        <w:rPr>
          <w:rFonts w:cs="Calibri"/>
          <w:b/>
          <w:iCs/>
        </w:rPr>
        <w:t>ay</w:t>
      </w:r>
      <w:r w:rsidR="006D2AF3">
        <w:rPr>
          <w:rFonts w:cs="Calibri"/>
          <w:b/>
          <w:iCs/>
        </w:rPr>
        <w:t>s</w:t>
      </w:r>
      <w:r w:rsidRPr="00500F57">
        <w:t xml:space="preserve"> a</w:t>
      </w:r>
      <w:r w:rsidR="006D2AF3">
        <w:t>re</w:t>
      </w:r>
      <w:r w:rsidRPr="00500F57">
        <w:t xml:space="preserve"> singl</w:t>
      </w:r>
      <w:r w:rsidR="006D2AF3">
        <w:t>e</w:t>
      </w:r>
      <w:r w:rsidRPr="00500F57">
        <w:t xml:space="preserve"> visit</w:t>
      </w:r>
      <w:r w:rsidR="006D2AF3">
        <w:t>s</w:t>
      </w:r>
      <w:r w:rsidRPr="00500F57">
        <w:t xml:space="preserve"> to an </w:t>
      </w:r>
      <w:r w:rsidR="005D6D50" w:rsidRPr="00500F57">
        <w:t>active recreation</w:t>
      </w:r>
      <w:r w:rsidRPr="00500F57">
        <w:t xml:space="preserve"> location or one-time engagement</w:t>
      </w:r>
      <w:r w:rsidR="008842C8">
        <w:t>s</w:t>
      </w:r>
      <w:r w:rsidRPr="00500F57">
        <w:t xml:space="preserve"> by one individual in a recreational activity.</w:t>
      </w:r>
    </w:p>
    <w:p w:rsidR="001E7425" w:rsidRPr="00500F57" w:rsidRDefault="001E7425" w:rsidP="002F27A9">
      <w:r w:rsidRPr="00500F57">
        <w:rPr>
          <w:b/>
        </w:rPr>
        <w:lastRenderedPageBreak/>
        <w:t xml:space="preserve">Physical activity </w:t>
      </w:r>
      <w:r w:rsidR="006D2AF3">
        <w:t>is</w:t>
      </w:r>
      <w:r w:rsidRPr="00500F57">
        <w:t xml:space="preserve"> any bodily movement produced by skeletal muscles that results in </w:t>
      </w:r>
      <w:r w:rsidR="006D2AF3">
        <w:t>MET</w:t>
      </w:r>
      <w:r w:rsidR="00517551" w:rsidRPr="00500F57">
        <w:t xml:space="preserve"> expenditure</w:t>
      </w:r>
      <w:r w:rsidR="008842C8">
        <w:t>. It</w:t>
      </w:r>
      <w:r w:rsidRPr="00500F57">
        <w:t xml:space="preserve"> </w:t>
      </w:r>
      <w:r w:rsidR="006D2AF3">
        <w:t>occurs</w:t>
      </w:r>
      <w:r w:rsidRPr="00500F57">
        <w:t xml:space="preserve"> in four main domains: leisure/recreation; transport; occupational/school; and household. Physical activity includes ‘exercise’ (planned, structured and repetitive activity with a fitness goal), sport (organised, club and social), unstructured/incidental physical activity (such as gardening), active play and walking (for recreation and transport).</w:t>
      </w:r>
    </w:p>
    <w:p w:rsidR="00F75C1B" w:rsidRPr="00500F57" w:rsidRDefault="00F75C1B" w:rsidP="002F27A9">
      <w:r w:rsidRPr="00500F57">
        <w:rPr>
          <w:b/>
        </w:rPr>
        <w:t xml:space="preserve">Physical inactivity </w:t>
      </w:r>
      <w:r w:rsidRPr="00500F57">
        <w:t xml:space="preserve">is a lack of physical activity, based on </w:t>
      </w:r>
      <w:r w:rsidRPr="000F0AFD">
        <w:rPr>
          <w:i/>
        </w:rPr>
        <w:t xml:space="preserve">Australia’s </w:t>
      </w:r>
      <w:r w:rsidR="006D2AF3" w:rsidRPr="000F0AFD">
        <w:rPr>
          <w:i/>
        </w:rPr>
        <w:t>physical activity and sedentary behaviour guidelines</w:t>
      </w:r>
      <w:r w:rsidR="006D2AF3" w:rsidRPr="00500F57">
        <w:t xml:space="preserve"> </w:t>
      </w:r>
      <w:r w:rsidRPr="00500F57">
        <w:t>(</w:t>
      </w:r>
      <w:r w:rsidR="00B34C17">
        <w:t>Appendix</w:t>
      </w:r>
      <w:r w:rsidRPr="00500F57">
        <w:t xml:space="preserve"> B)</w:t>
      </w:r>
    </w:p>
    <w:p w:rsidR="00CA4D17" w:rsidRDefault="008842C8" w:rsidP="002F27A9">
      <w:r w:rsidRPr="000F0AFD">
        <w:rPr>
          <w:rFonts w:cs="Calibri"/>
          <w:iCs/>
        </w:rPr>
        <w:t xml:space="preserve">The </w:t>
      </w:r>
      <w:r w:rsidR="0087111B" w:rsidRPr="00500F57">
        <w:rPr>
          <w:rFonts w:cs="Calibri"/>
          <w:b/>
          <w:iCs/>
        </w:rPr>
        <w:t>Regional Development V</w:t>
      </w:r>
      <w:r w:rsidR="00662B8F" w:rsidRPr="00500F57">
        <w:rPr>
          <w:rFonts w:cs="Calibri"/>
          <w:b/>
          <w:iCs/>
        </w:rPr>
        <w:t xml:space="preserve">ictoria </w:t>
      </w:r>
      <w:r w:rsidR="006D2AF3" w:rsidRPr="00500F57">
        <w:rPr>
          <w:rFonts w:cs="Calibri"/>
          <w:b/>
          <w:iCs/>
        </w:rPr>
        <w:t>input</w:t>
      </w:r>
      <w:r w:rsidR="006D2AF3">
        <w:rPr>
          <w:rFonts w:cs="Calibri"/>
          <w:b/>
          <w:iCs/>
        </w:rPr>
        <w:t>–</w:t>
      </w:r>
      <w:r w:rsidR="006D2AF3" w:rsidRPr="00500F57">
        <w:rPr>
          <w:rFonts w:cs="Calibri"/>
          <w:b/>
          <w:iCs/>
        </w:rPr>
        <w:t xml:space="preserve">output </w:t>
      </w:r>
      <w:r w:rsidR="00662B8F" w:rsidRPr="00500F57">
        <w:rPr>
          <w:rFonts w:cs="Calibri"/>
          <w:b/>
          <w:iCs/>
        </w:rPr>
        <w:t xml:space="preserve">model </w:t>
      </w:r>
      <w:r w:rsidR="0087111B" w:rsidRPr="00500F57">
        <w:t xml:space="preserve">is </w:t>
      </w:r>
      <w:r w:rsidR="0023082F" w:rsidRPr="00500F57">
        <w:t>a</w:t>
      </w:r>
      <w:r w:rsidR="0087111B" w:rsidRPr="00500F57">
        <w:t xml:space="preserve"> purpose</w:t>
      </w:r>
      <w:r w:rsidR="006D2AF3">
        <w:t>-</w:t>
      </w:r>
      <w:r w:rsidR="0087111B" w:rsidRPr="00500F57">
        <w:t>built economic model that allows the user to estimate total economic activity generated by tourism and infrastructure expenditures in a Victorian regional economy.</w:t>
      </w:r>
    </w:p>
    <w:p w:rsidR="004C45F9" w:rsidRDefault="004C45F9" w:rsidP="002F27A9">
      <w:r w:rsidRPr="00500F57">
        <w:rPr>
          <w:b/>
        </w:rPr>
        <w:t>Sport</w:t>
      </w:r>
      <w:r w:rsidRPr="00500F57">
        <w:t xml:space="preserve"> is human activity involving physical exertion and skill as the primary focus of the activity</w:t>
      </w:r>
      <w:r>
        <w:t>. It</w:t>
      </w:r>
      <w:r w:rsidRPr="00500F57">
        <w:t xml:space="preserve"> </w:t>
      </w:r>
      <w:r>
        <w:t>has</w:t>
      </w:r>
      <w:r w:rsidRPr="00500F57">
        <w:t xml:space="preserve"> elements of competition </w:t>
      </w:r>
      <w:r>
        <w:t>in which</w:t>
      </w:r>
      <w:r w:rsidRPr="00500F57">
        <w:t xml:space="preserve"> rules and patterns of behaviour governing the activity </w:t>
      </w:r>
      <w:r>
        <w:t>are set</w:t>
      </w:r>
      <w:r w:rsidRPr="00500F57">
        <w:t xml:space="preserve"> formally </w:t>
      </w:r>
      <w:r>
        <w:t>by</w:t>
      </w:r>
      <w:r w:rsidRPr="00500F57">
        <w:t xml:space="preserve"> organisations</w:t>
      </w:r>
      <w:r>
        <w:t>,</w:t>
      </w:r>
      <w:r w:rsidRPr="00500F57">
        <w:t xml:space="preserve"> and is generally recognised as a sport.</w:t>
      </w:r>
    </w:p>
    <w:p w:rsidR="004C45F9" w:rsidRPr="00500F57" w:rsidRDefault="004C45F9" w:rsidP="002F27A9">
      <w:r w:rsidRPr="00500F57">
        <w:rPr>
          <w:rFonts w:cs="Calibri"/>
          <w:b/>
          <w:iCs/>
        </w:rPr>
        <w:t>Visitors</w:t>
      </w:r>
      <w:r w:rsidRPr="00500F57">
        <w:t xml:space="preserve"> </w:t>
      </w:r>
      <w:r>
        <w:t xml:space="preserve">are </w:t>
      </w:r>
      <w:r w:rsidRPr="00500F57">
        <w:t>active recreation participants who travel more than 50 kilometres from their home</w:t>
      </w:r>
      <w:r>
        <w:t>s</w:t>
      </w:r>
      <w:r w:rsidRPr="00500F57">
        <w:t xml:space="preserve"> to visit one of Victoria’s active recreation activity locations</w:t>
      </w:r>
      <w:r>
        <w:t>.</w:t>
      </w:r>
    </w:p>
    <w:p w:rsidR="001E7425" w:rsidRPr="00500F57" w:rsidRDefault="00B34C17" w:rsidP="002F27A9">
      <w:pPr>
        <w:pStyle w:val="Heading1"/>
      </w:pPr>
      <w:bookmarkStart w:id="89" w:name="_Toc477964699"/>
      <w:bookmarkStart w:id="90" w:name="_Toc516050187"/>
      <w:bookmarkStart w:id="91" w:name="_Toc431564050"/>
      <w:r>
        <w:lastRenderedPageBreak/>
        <w:t>Appendix</w:t>
      </w:r>
      <w:r w:rsidR="00A27F97" w:rsidRPr="00500F57">
        <w:t xml:space="preserve"> B: National guidelines for physical activity and sedentary behaviour</w:t>
      </w:r>
      <w:bookmarkEnd w:id="89"/>
      <w:bookmarkEnd w:id="90"/>
    </w:p>
    <w:tbl>
      <w:tblPr>
        <w:tblStyle w:val="TableGrid1"/>
        <w:tblW w:w="14488" w:type="dxa"/>
        <w:tblInd w:w="25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217"/>
        <w:gridCol w:w="5921"/>
        <w:gridCol w:w="6350"/>
      </w:tblGrid>
      <w:tr w:rsidR="001E7425" w:rsidRPr="00F90D20" w:rsidTr="003E43FC">
        <w:trPr>
          <w:trHeight w:hRule="exact" w:val="411"/>
          <w:tblHeader/>
        </w:trPr>
        <w:tc>
          <w:tcPr>
            <w:tcW w:w="2217" w:type="dxa"/>
            <w:tcBorders>
              <w:top w:val="single" w:sz="4" w:space="0" w:color="808080" w:themeColor="background1" w:themeShade="80"/>
              <w:bottom w:val="single" w:sz="4" w:space="0" w:color="808080" w:themeColor="background1" w:themeShade="80"/>
              <w:right w:val="nil"/>
            </w:tcBorders>
          </w:tcPr>
          <w:p w:rsidR="001E7425" w:rsidRPr="00C67505" w:rsidRDefault="001E7425" w:rsidP="002F27A9">
            <w:pPr>
              <w:pStyle w:val="Tablerow"/>
              <w:rPr>
                <w:rFonts w:ascii="Times New Roman" w:hAnsi="Times New Roman"/>
                <w:b/>
                <w:color w:val="auto"/>
              </w:rPr>
            </w:pPr>
            <w:r w:rsidRPr="00C67505">
              <w:rPr>
                <w:b/>
                <w:w w:val="105"/>
              </w:rPr>
              <w:t>Age group</w:t>
            </w:r>
          </w:p>
        </w:tc>
        <w:tc>
          <w:tcPr>
            <w:tcW w:w="5921" w:type="dxa"/>
            <w:tcBorders>
              <w:top w:val="single" w:sz="4" w:space="0" w:color="808080" w:themeColor="background1" w:themeShade="80"/>
              <w:left w:val="nil"/>
              <w:bottom w:val="single" w:sz="4" w:space="0" w:color="808080" w:themeColor="background1" w:themeShade="80"/>
              <w:right w:val="nil"/>
            </w:tcBorders>
          </w:tcPr>
          <w:p w:rsidR="001E7425" w:rsidRPr="00C67505" w:rsidRDefault="001E7425" w:rsidP="002F27A9">
            <w:pPr>
              <w:pStyle w:val="Tablerow"/>
              <w:rPr>
                <w:b/>
              </w:rPr>
            </w:pPr>
            <w:r w:rsidRPr="00C67505">
              <w:rPr>
                <w:b/>
              </w:rPr>
              <w:t>Physical activity</w:t>
            </w:r>
          </w:p>
        </w:tc>
        <w:tc>
          <w:tcPr>
            <w:tcW w:w="6350" w:type="dxa"/>
            <w:tcBorders>
              <w:top w:val="single" w:sz="4" w:space="0" w:color="808080" w:themeColor="background1" w:themeShade="80"/>
              <w:left w:val="nil"/>
              <w:bottom w:val="single" w:sz="4" w:space="0" w:color="808080" w:themeColor="background1" w:themeShade="80"/>
            </w:tcBorders>
          </w:tcPr>
          <w:p w:rsidR="001E7425" w:rsidRPr="00C67505" w:rsidRDefault="003A0D6F" w:rsidP="002F27A9">
            <w:pPr>
              <w:pStyle w:val="Tablerow"/>
              <w:rPr>
                <w:b/>
              </w:rPr>
            </w:pPr>
            <w:r w:rsidRPr="00C67505">
              <w:rPr>
                <w:b/>
              </w:rPr>
              <w:t>Guidelines</w:t>
            </w:r>
          </w:p>
        </w:tc>
      </w:tr>
      <w:tr w:rsidR="001E7425" w:rsidRPr="00F90D20" w:rsidTr="003E43FC">
        <w:tc>
          <w:tcPr>
            <w:tcW w:w="2217" w:type="dxa"/>
            <w:tcBorders>
              <w:top w:val="single" w:sz="4" w:space="0" w:color="808080" w:themeColor="background1" w:themeShade="80"/>
              <w:right w:val="nil"/>
            </w:tcBorders>
          </w:tcPr>
          <w:p w:rsidR="008842C8" w:rsidRPr="00F90D20" w:rsidRDefault="001E7425" w:rsidP="002F27A9">
            <w:pPr>
              <w:pStyle w:val="Tablerow"/>
              <w:rPr>
                <w:w w:val="110"/>
              </w:rPr>
            </w:pPr>
            <w:r w:rsidRPr="00F90D20">
              <w:rPr>
                <w:w w:val="110"/>
              </w:rPr>
              <w:t>Early childhood</w:t>
            </w:r>
          </w:p>
          <w:p w:rsidR="001E7425" w:rsidRPr="00F90D20" w:rsidRDefault="001E7425" w:rsidP="002F27A9">
            <w:pPr>
              <w:pStyle w:val="Tablerow"/>
              <w:rPr>
                <w:rFonts w:ascii="Times New Roman" w:hAnsi="Times New Roman"/>
                <w:color w:val="auto"/>
              </w:rPr>
            </w:pPr>
            <w:r w:rsidRPr="00F90D20">
              <w:rPr>
                <w:w w:val="110"/>
              </w:rPr>
              <w:t>0–5 years</w:t>
            </w:r>
          </w:p>
        </w:tc>
        <w:tc>
          <w:tcPr>
            <w:tcW w:w="5921" w:type="dxa"/>
            <w:tcBorders>
              <w:top w:val="single" w:sz="4" w:space="0" w:color="808080" w:themeColor="background1" w:themeShade="80"/>
              <w:left w:val="nil"/>
              <w:bottom w:val="single" w:sz="4" w:space="0" w:color="808080" w:themeColor="background1" w:themeShade="80"/>
              <w:right w:val="nil"/>
            </w:tcBorders>
          </w:tcPr>
          <w:p w:rsidR="001E7425" w:rsidRPr="00F90D20" w:rsidRDefault="003A0D6F" w:rsidP="002F27A9">
            <w:pPr>
              <w:pStyle w:val="Tablerow"/>
            </w:pPr>
            <w:r w:rsidRPr="00F90D20">
              <w:t>3 hours of light- to vigorous-</w:t>
            </w:r>
            <w:r w:rsidR="001E7425" w:rsidRPr="00F90D20">
              <w:t>intensity activity every day</w:t>
            </w:r>
          </w:p>
        </w:tc>
        <w:tc>
          <w:tcPr>
            <w:tcW w:w="6350" w:type="dxa"/>
            <w:tcBorders>
              <w:top w:val="single" w:sz="4" w:space="0" w:color="808080" w:themeColor="background1" w:themeShade="80"/>
              <w:left w:val="nil"/>
              <w:bottom w:val="single" w:sz="4" w:space="0" w:color="808080" w:themeColor="background1" w:themeShade="80"/>
            </w:tcBorders>
          </w:tcPr>
          <w:p w:rsidR="001E7425" w:rsidRPr="00F90D20" w:rsidRDefault="001E7425" w:rsidP="002F27A9">
            <w:pPr>
              <w:pStyle w:val="Tablerow"/>
            </w:pPr>
            <w:r w:rsidRPr="00F90D20">
              <w:t>No screen-time for children under 2 years of age</w:t>
            </w:r>
          </w:p>
          <w:p w:rsidR="001E7425" w:rsidRPr="00F90D20" w:rsidRDefault="001E7425" w:rsidP="002F27A9">
            <w:pPr>
              <w:pStyle w:val="Tablerow"/>
            </w:pPr>
            <w:r w:rsidRPr="00F90D20">
              <w:t>Less than 1 hour of screen-time per day for children aged between two and five</w:t>
            </w:r>
          </w:p>
          <w:p w:rsidR="001E7425" w:rsidRPr="00F90D20" w:rsidRDefault="001E7425" w:rsidP="002F27A9">
            <w:pPr>
              <w:pStyle w:val="Tablerow"/>
            </w:pPr>
            <w:r w:rsidRPr="00F90D20">
              <w:t xml:space="preserve">No more than </w:t>
            </w:r>
            <w:r w:rsidR="00D55005" w:rsidRPr="00F90D20">
              <w:t>1 h</w:t>
            </w:r>
            <w:r w:rsidRPr="00F90D20">
              <w:t>our of being sedentary or</w:t>
            </w:r>
          </w:p>
          <w:p w:rsidR="001E7425" w:rsidRPr="00F90D20" w:rsidRDefault="001E7425" w:rsidP="002F27A9">
            <w:pPr>
              <w:pStyle w:val="Tablerow"/>
            </w:pPr>
            <w:r w:rsidRPr="00F90D20">
              <w:t xml:space="preserve">inactive at a time, except when sleeping, for all children aged birth to </w:t>
            </w:r>
            <w:r w:rsidR="00D55005" w:rsidRPr="00F90D20">
              <w:t>5 y</w:t>
            </w:r>
            <w:r w:rsidRPr="00F90D20">
              <w:t>ears</w:t>
            </w:r>
          </w:p>
        </w:tc>
      </w:tr>
      <w:tr w:rsidR="001E7425" w:rsidRPr="00F90D20" w:rsidTr="003E43FC">
        <w:tc>
          <w:tcPr>
            <w:tcW w:w="2217" w:type="dxa"/>
            <w:tcBorders>
              <w:right w:val="nil"/>
            </w:tcBorders>
          </w:tcPr>
          <w:p w:rsidR="008842C8" w:rsidRPr="00F90D20" w:rsidRDefault="001E7425" w:rsidP="002F27A9">
            <w:pPr>
              <w:pStyle w:val="Tablerow"/>
              <w:rPr>
                <w:w w:val="110"/>
              </w:rPr>
            </w:pPr>
            <w:r w:rsidRPr="00F90D20">
              <w:rPr>
                <w:w w:val="110"/>
              </w:rPr>
              <w:t>Children and youth</w:t>
            </w:r>
          </w:p>
          <w:p w:rsidR="001E7425" w:rsidRPr="00F90D20" w:rsidRDefault="001E7425" w:rsidP="002F27A9">
            <w:pPr>
              <w:pStyle w:val="Tablerow"/>
              <w:rPr>
                <w:rFonts w:ascii="Times New Roman" w:hAnsi="Times New Roman"/>
                <w:color w:val="auto"/>
              </w:rPr>
            </w:pPr>
            <w:r w:rsidRPr="00F90D20">
              <w:rPr>
                <w:w w:val="110"/>
              </w:rPr>
              <w:t>5–17 years</w:t>
            </w:r>
          </w:p>
        </w:tc>
        <w:tc>
          <w:tcPr>
            <w:tcW w:w="5921" w:type="dxa"/>
            <w:tcBorders>
              <w:top w:val="single" w:sz="4" w:space="0" w:color="808080" w:themeColor="background1" w:themeShade="80"/>
              <w:left w:val="nil"/>
              <w:bottom w:val="single" w:sz="4" w:space="0" w:color="808080" w:themeColor="background1" w:themeShade="80"/>
              <w:right w:val="nil"/>
            </w:tcBorders>
          </w:tcPr>
          <w:p w:rsidR="001E7425" w:rsidRPr="00F90D20" w:rsidRDefault="001E7425" w:rsidP="002F27A9">
            <w:pPr>
              <w:pStyle w:val="Tablerow"/>
            </w:pPr>
            <w:r w:rsidRPr="00F90D20">
              <w:t xml:space="preserve">At least </w:t>
            </w:r>
            <w:r w:rsidR="00D55005" w:rsidRPr="00F90D20">
              <w:t>1 h</w:t>
            </w:r>
            <w:r w:rsidRPr="00F90D20">
              <w:t>our of physical activity every day</w:t>
            </w:r>
          </w:p>
          <w:p w:rsidR="001E7425" w:rsidRPr="00F90D20" w:rsidRDefault="001E7425" w:rsidP="002F27A9">
            <w:pPr>
              <w:pStyle w:val="Tablerow"/>
            </w:pPr>
            <w:r w:rsidRPr="00F90D20">
              <w:t xml:space="preserve">Bone and muscle strengthening activities at least </w:t>
            </w:r>
            <w:r w:rsidR="00D55005" w:rsidRPr="00F90D20">
              <w:t>3 d</w:t>
            </w:r>
            <w:r w:rsidRPr="00F90D20">
              <w:t>ays each week</w:t>
            </w:r>
          </w:p>
        </w:tc>
        <w:tc>
          <w:tcPr>
            <w:tcW w:w="6350" w:type="dxa"/>
            <w:tcBorders>
              <w:top w:val="single" w:sz="4" w:space="0" w:color="808080" w:themeColor="background1" w:themeShade="80"/>
              <w:left w:val="nil"/>
              <w:bottom w:val="single" w:sz="4" w:space="0" w:color="808080" w:themeColor="background1" w:themeShade="80"/>
            </w:tcBorders>
          </w:tcPr>
          <w:p w:rsidR="001E7425" w:rsidRPr="00F90D20" w:rsidRDefault="001E7425" w:rsidP="002F27A9">
            <w:pPr>
              <w:pStyle w:val="Tablerow"/>
            </w:pPr>
            <w:r w:rsidRPr="00F90D20">
              <w:t>Minimise sedentary time every day</w:t>
            </w:r>
          </w:p>
          <w:p w:rsidR="001E7425" w:rsidRPr="00F90D20" w:rsidRDefault="001E7425" w:rsidP="002F27A9">
            <w:pPr>
              <w:pStyle w:val="Tablerow"/>
            </w:pPr>
            <w:r w:rsidRPr="00F90D20">
              <w:t xml:space="preserve">Less than </w:t>
            </w:r>
            <w:r w:rsidR="00D55005" w:rsidRPr="00F90D20">
              <w:t>2 h</w:t>
            </w:r>
            <w:r w:rsidRPr="00F90D20">
              <w:t>ours of screen-based entertainment per day</w:t>
            </w:r>
          </w:p>
          <w:p w:rsidR="001E7425" w:rsidRPr="00F90D20" w:rsidRDefault="001E7425" w:rsidP="002F27A9">
            <w:pPr>
              <w:pStyle w:val="Tablerow"/>
            </w:pPr>
            <w:r w:rsidRPr="00F90D20">
              <w:t>Break up long periods of sitting as often as possible</w:t>
            </w:r>
          </w:p>
        </w:tc>
      </w:tr>
      <w:tr w:rsidR="001E7425" w:rsidRPr="00F90D20" w:rsidTr="003E43FC">
        <w:tc>
          <w:tcPr>
            <w:tcW w:w="2217" w:type="dxa"/>
            <w:tcBorders>
              <w:bottom w:val="single" w:sz="4" w:space="0" w:color="808080" w:themeColor="background1" w:themeShade="80"/>
              <w:right w:val="nil"/>
            </w:tcBorders>
          </w:tcPr>
          <w:p w:rsidR="001E7425" w:rsidRPr="00F90D20" w:rsidRDefault="001E7425" w:rsidP="002F27A9">
            <w:pPr>
              <w:pStyle w:val="Tablerow"/>
              <w:rPr>
                <w:w w:val="110"/>
              </w:rPr>
            </w:pPr>
            <w:r w:rsidRPr="00F90D20">
              <w:rPr>
                <w:w w:val="110"/>
              </w:rPr>
              <w:t>Adults</w:t>
            </w:r>
          </w:p>
          <w:p w:rsidR="001E7425" w:rsidRPr="00F90D20" w:rsidRDefault="001E7425" w:rsidP="002F27A9">
            <w:pPr>
              <w:pStyle w:val="Tablerow"/>
              <w:rPr>
                <w:rFonts w:ascii="Times New Roman" w:hAnsi="Times New Roman"/>
                <w:color w:val="auto"/>
              </w:rPr>
            </w:pPr>
            <w:r w:rsidRPr="00F90D20">
              <w:rPr>
                <w:w w:val="105"/>
              </w:rPr>
              <w:t>18 years and over</w:t>
            </w:r>
          </w:p>
        </w:tc>
        <w:tc>
          <w:tcPr>
            <w:tcW w:w="5921" w:type="dxa"/>
            <w:tcBorders>
              <w:top w:val="single" w:sz="4" w:space="0" w:color="808080" w:themeColor="background1" w:themeShade="80"/>
              <w:left w:val="nil"/>
              <w:bottom w:val="single" w:sz="4" w:space="0" w:color="808080" w:themeColor="background1" w:themeShade="80"/>
              <w:right w:val="nil"/>
            </w:tcBorders>
          </w:tcPr>
          <w:p w:rsidR="001E7425" w:rsidRPr="00F90D20" w:rsidRDefault="001E7425" w:rsidP="002F27A9">
            <w:pPr>
              <w:pStyle w:val="Tablerow"/>
            </w:pPr>
            <w:r w:rsidRPr="00F90D20">
              <w:t xml:space="preserve">Between 2½ and </w:t>
            </w:r>
            <w:r w:rsidR="00D55005" w:rsidRPr="00F90D20">
              <w:t>5 h</w:t>
            </w:r>
            <w:r w:rsidRPr="00F90D20">
              <w:t>ours of moderate intensity physical activity, or between 1¼ and 2½ hours of vigorous intensity physical activity, each week</w:t>
            </w:r>
          </w:p>
          <w:p w:rsidR="001E7425" w:rsidRPr="00F90D20" w:rsidRDefault="001E7425" w:rsidP="002F27A9">
            <w:pPr>
              <w:pStyle w:val="Tablerow"/>
            </w:pPr>
            <w:r w:rsidRPr="00F90D20">
              <w:t>Activity on most, and preferably all, days</w:t>
            </w:r>
          </w:p>
          <w:p w:rsidR="001E7425" w:rsidRPr="00F90D20" w:rsidRDefault="001E7425" w:rsidP="002F27A9">
            <w:pPr>
              <w:pStyle w:val="Tablerow"/>
            </w:pPr>
            <w:r w:rsidRPr="00F90D20">
              <w:t xml:space="preserve">Muscle strengthening activities at least </w:t>
            </w:r>
            <w:r w:rsidR="00D55005" w:rsidRPr="00F90D20">
              <w:t>2 d</w:t>
            </w:r>
            <w:r w:rsidRPr="00F90D20">
              <w:t>ays each week</w:t>
            </w:r>
          </w:p>
        </w:tc>
        <w:tc>
          <w:tcPr>
            <w:tcW w:w="6350" w:type="dxa"/>
            <w:tcBorders>
              <w:top w:val="single" w:sz="4" w:space="0" w:color="808080" w:themeColor="background1" w:themeShade="80"/>
              <w:left w:val="nil"/>
              <w:bottom w:val="single" w:sz="4" w:space="0" w:color="808080" w:themeColor="background1" w:themeShade="80"/>
            </w:tcBorders>
          </w:tcPr>
          <w:p w:rsidR="001E7425" w:rsidRPr="00F90D20" w:rsidRDefault="001E7425" w:rsidP="002F27A9">
            <w:pPr>
              <w:pStyle w:val="Tablerow"/>
            </w:pPr>
            <w:r w:rsidRPr="00F90D20">
              <w:t>Minimise prolonged sitting</w:t>
            </w:r>
          </w:p>
          <w:p w:rsidR="001E7425" w:rsidRPr="00F90D20" w:rsidRDefault="001E7425" w:rsidP="002F27A9">
            <w:pPr>
              <w:pStyle w:val="Tablerow"/>
            </w:pPr>
            <w:r w:rsidRPr="00F90D20">
              <w:t>Break up long periods of sitting as often as possible</w:t>
            </w:r>
          </w:p>
        </w:tc>
      </w:tr>
      <w:tr w:rsidR="001E7425" w:rsidRPr="00F90D20" w:rsidTr="003E43FC">
        <w:tc>
          <w:tcPr>
            <w:tcW w:w="2217" w:type="dxa"/>
            <w:tcBorders>
              <w:top w:val="single" w:sz="4" w:space="0" w:color="808080" w:themeColor="background1" w:themeShade="80"/>
              <w:bottom w:val="single" w:sz="4" w:space="0" w:color="808080" w:themeColor="background1" w:themeShade="80"/>
              <w:right w:val="nil"/>
            </w:tcBorders>
          </w:tcPr>
          <w:p w:rsidR="001E7425" w:rsidRPr="00F90D20" w:rsidRDefault="001E7425" w:rsidP="002F27A9">
            <w:pPr>
              <w:pStyle w:val="Tablerow"/>
              <w:rPr>
                <w:w w:val="110"/>
              </w:rPr>
            </w:pPr>
            <w:r w:rsidRPr="00F90D20">
              <w:rPr>
                <w:w w:val="110"/>
              </w:rPr>
              <w:t>Older adults</w:t>
            </w:r>
          </w:p>
          <w:p w:rsidR="001E7425" w:rsidRPr="00F90D20" w:rsidRDefault="001E7425" w:rsidP="002F27A9">
            <w:pPr>
              <w:pStyle w:val="Tablerow"/>
              <w:rPr>
                <w:rFonts w:ascii="Times New Roman" w:hAnsi="Times New Roman"/>
                <w:color w:val="auto"/>
              </w:rPr>
            </w:pPr>
            <w:r w:rsidRPr="00F90D20">
              <w:rPr>
                <w:w w:val="105"/>
              </w:rPr>
              <w:t>65 years and over</w:t>
            </w:r>
          </w:p>
        </w:tc>
        <w:tc>
          <w:tcPr>
            <w:tcW w:w="5921" w:type="dxa"/>
            <w:tcBorders>
              <w:top w:val="single" w:sz="4" w:space="0" w:color="808080" w:themeColor="background1" w:themeShade="80"/>
              <w:left w:val="nil"/>
              <w:bottom w:val="single" w:sz="4" w:space="0" w:color="808080" w:themeColor="background1" w:themeShade="80"/>
              <w:right w:val="nil"/>
            </w:tcBorders>
          </w:tcPr>
          <w:p w:rsidR="001E7425" w:rsidRPr="00F90D20" w:rsidRDefault="001E7425" w:rsidP="002F27A9">
            <w:pPr>
              <w:pStyle w:val="Tablerow"/>
            </w:pPr>
            <w:r w:rsidRPr="00F90D20">
              <w:t>At least 3</w:t>
            </w:r>
            <w:r w:rsidR="00D55005" w:rsidRPr="00F90D20">
              <w:t>0 m</w:t>
            </w:r>
            <w:r w:rsidRPr="00F90D20">
              <w:t>inutes of moderate intensity physical activity on most, preferably all, days</w:t>
            </w:r>
          </w:p>
          <w:p w:rsidR="001E7425" w:rsidRPr="00F90D20" w:rsidRDefault="001E7425" w:rsidP="002F27A9">
            <w:pPr>
              <w:pStyle w:val="Tablerow"/>
            </w:pPr>
            <w:r w:rsidRPr="00F90D20">
              <w:t>Activity each day, in as many ways as possible, doing a range of physical activities</w:t>
            </w:r>
          </w:p>
          <w:p w:rsidR="001E7425" w:rsidRPr="00F90D20" w:rsidRDefault="001E7425" w:rsidP="002F27A9">
            <w:pPr>
              <w:pStyle w:val="Tablerow"/>
            </w:pPr>
            <w:r w:rsidRPr="00F90D20">
              <w:t>Incorporate activities that promote fitness, strength, balance and flexibility</w:t>
            </w:r>
          </w:p>
        </w:tc>
        <w:tc>
          <w:tcPr>
            <w:tcW w:w="6350" w:type="dxa"/>
            <w:tcBorders>
              <w:top w:val="single" w:sz="4" w:space="0" w:color="808080" w:themeColor="background1" w:themeShade="80"/>
              <w:left w:val="nil"/>
              <w:bottom w:val="single" w:sz="4" w:space="0" w:color="808080" w:themeColor="background1" w:themeShade="80"/>
            </w:tcBorders>
          </w:tcPr>
          <w:p w:rsidR="005B2147" w:rsidRPr="00F90D20" w:rsidRDefault="005B2147" w:rsidP="002F27A9">
            <w:pPr>
              <w:pStyle w:val="Tablerow"/>
            </w:pPr>
            <w:r w:rsidRPr="00F90D20">
              <w:t>Minimise prolonged sitting</w:t>
            </w:r>
          </w:p>
          <w:p w:rsidR="001E7425" w:rsidRPr="00F90D20" w:rsidRDefault="005B2147" w:rsidP="002F27A9">
            <w:pPr>
              <w:pStyle w:val="Tablerow"/>
              <w:rPr>
                <w:sz w:val="20"/>
              </w:rPr>
            </w:pPr>
            <w:r w:rsidRPr="00F90D20">
              <w:t>Break up long periods of sitting as often as possible</w:t>
            </w:r>
          </w:p>
        </w:tc>
      </w:tr>
    </w:tbl>
    <w:p w:rsidR="006D2AF3" w:rsidRPr="0034748A" w:rsidRDefault="006D2AF3" w:rsidP="0034748A">
      <w:pPr>
        <w:pStyle w:val="FootnoteText"/>
      </w:pPr>
      <w:r w:rsidRPr="0034748A">
        <w:t xml:space="preserve">Source: </w:t>
      </w:r>
      <w:proofErr w:type="spellStart"/>
      <w:r w:rsidR="003A0D6F" w:rsidRPr="0034748A">
        <w:t>DoH</w:t>
      </w:r>
      <w:proofErr w:type="spellEnd"/>
      <w:r w:rsidR="003A0D6F" w:rsidRPr="0034748A">
        <w:t xml:space="preserve"> (2014).</w:t>
      </w:r>
    </w:p>
    <w:p w:rsidR="00163A7B" w:rsidRPr="00500F57" w:rsidRDefault="00B34C17" w:rsidP="002F27A9">
      <w:pPr>
        <w:pStyle w:val="Heading1"/>
      </w:pPr>
      <w:bookmarkStart w:id="92" w:name="_Toc477964700"/>
      <w:bookmarkStart w:id="93" w:name="_Toc516050188"/>
      <w:r>
        <w:lastRenderedPageBreak/>
        <w:t>Appendix</w:t>
      </w:r>
      <w:r w:rsidR="001E7425" w:rsidRPr="00500F57">
        <w:t xml:space="preserve"> C: </w:t>
      </w:r>
      <w:r w:rsidR="00320FEF" w:rsidRPr="00500F57">
        <w:t>Economic evaluation</w:t>
      </w:r>
      <w:bookmarkEnd w:id="91"/>
      <w:r w:rsidR="00320FEF" w:rsidRPr="00500F57">
        <w:t xml:space="preserve"> approach</w:t>
      </w:r>
      <w:bookmarkEnd w:id="92"/>
      <w:bookmarkEnd w:id="93"/>
    </w:p>
    <w:p w:rsidR="00D55005" w:rsidRPr="00500F57" w:rsidRDefault="00FF401B" w:rsidP="002F27A9">
      <w:r w:rsidRPr="00500F57">
        <w:t>We</w:t>
      </w:r>
      <w:r w:rsidR="00320FEF" w:rsidRPr="00500F57">
        <w:t xml:space="preserve"> used a</w:t>
      </w:r>
      <w:r w:rsidR="00793F96" w:rsidRPr="00500F57">
        <w:t xml:space="preserve"> b</w:t>
      </w:r>
      <w:r w:rsidR="00320FEF" w:rsidRPr="00500F57">
        <w:t>ottom-up approach to estimate</w:t>
      </w:r>
      <w:r w:rsidR="00793F96" w:rsidRPr="00500F57">
        <w:t xml:space="preserve"> the economic contribution of the</w:t>
      </w:r>
      <w:r w:rsidR="00320FEF" w:rsidRPr="00500F57">
        <w:t xml:space="preserve"> Victorian </w:t>
      </w:r>
      <w:r w:rsidR="008F47EF" w:rsidRPr="00500F57">
        <w:t>active recreation</w:t>
      </w:r>
      <w:r w:rsidR="00793F96" w:rsidRPr="00500F57">
        <w:t xml:space="preserve"> sector</w:t>
      </w:r>
      <w:r w:rsidRPr="00500F57">
        <w:t xml:space="preserve"> in this report</w:t>
      </w:r>
      <w:r w:rsidR="00320FEF" w:rsidRPr="00500F57">
        <w:t>.</w:t>
      </w:r>
      <w:r w:rsidR="00D55005" w:rsidRPr="00500F57">
        <w:t xml:space="preserve"> </w:t>
      </w:r>
      <w:r w:rsidR="00320FEF" w:rsidRPr="00500F57">
        <w:t xml:space="preserve">In broad terms, the bottom-up approach </w:t>
      </w:r>
      <w:r w:rsidR="00793F96" w:rsidRPr="00500F57">
        <w:t xml:space="preserve">sums the </w:t>
      </w:r>
      <w:r w:rsidR="00320FEF" w:rsidRPr="00500F57">
        <w:t xml:space="preserve">individual expenditure </w:t>
      </w:r>
      <w:r w:rsidR="00793F96" w:rsidRPr="00500F57">
        <w:t>contribution</w:t>
      </w:r>
      <w:r w:rsidR="00320FEF" w:rsidRPr="00500F57">
        <w:t>s</w:t>
      </w:r>
      <w:r w:rsidR="00793F96" w:rsidRPr="00500F57">
        <w:t xml:space="preserve"> </w:t>
      </w:r>
      <w:r w:rsidR="00320FEF" w:rsidRPr="00500F57">
        <w:t xml:space="preserve">of the subsectors that are included in the Victorian </w:t>
      </w:r>
      <w:r w:rsidR="008F47EF" w:rsidRPr="00500F57">
        <w:t>active recreation</w:t>
      </w:r>
      <w:r w:rsidR="00320FEF" w:rsidRPr="00500F57">
        <w:t xml:space="preserve"> sector analysis. The key advantage of </w:t>
      </w:r>
      <w:r w:rsidR="003A0D6F">
        <w:t>this</w:t>
      </w:r>
      <w:r w:rsidR="00320FEF" w:rsidRPr="00500F57">
        <w:t xml:space="preserve"> approach is that it overcomes the </w:t>
      </w:r>
      <w:r w:rsidR="00793F96" w:rsidRPr="00500F57">
        <w:t>difficulty that arises from the lack of industry</w:t>
      </w:r>
      <w:r w:rsidR="003A0D6F">
        <w:t>-</w:t>
      </w:r>
      <w:r w:rsidR="00793F96" w:rsidRPr="00500F57">
        <w:t>wide data.</w:t>
      </w:r>
    </w:p>
    <w:p w:rsidR="00793F96" w:rsidRPr="00500F57" w:rsidRDefault="00793F96" w:rsidP="002F27A9">
      <w:r w:rsidRPr="00500F57">
        <w:t>However</w:t>
      </w:r>
      <w:r w:rsidR="00320FEF" w:rsidRPr="00500F57">
        <w:t>, consistent with previous work</w:t>
      </w:r>
      <w:r w:rsidR="001F23D3" w:rsidRPr="00500F57">
        <w:t xml:space="preserve"> that has looked at the economic contribution of outdoor recreation in Australia</w:t>
      </w:r>
      <w:r w:rsidR="00B34C17">
        <w:t xml:space="preserve"> (Q</w:t>
      </w:r>
      <w:r w:rsidR="000B2DE4">
        <w:t>ORF</w:t>
      </w:r>
      <w:r w:rsidR="00B34C17">
        <w:t>, 2012)</w:t>
      </w:r>
      <w:r w:rsidR="003A0D6F">
        <w:t xml:space="preserve">, </w:t>
      </w:r>
      <w:r w:rsidR="001F23D3" w:rsidRPr="00500F57">
        <w:t>the key challenges with the approach are</w:t>
      </w:r>
      <w:r w:rsidR="003A0D6F">
        <w:t xml:space="preserve"> as follows</w:t>
      </w:r>
      <w:r w:rsidRPr="00500F57">
        <w:t>:</w:t>
      </w:r>
    </w:p>
    <w:p w:rsidR="00D55005" w:rsidRPr="00500F57" w:rsidRDefault="003A0D6F" w:rsidP="002F27A9">
      <w:pPr>
        <w:pStyle w:val="ListParagraph"/>
      </w:pPr>
      <w:r>
        <w:t>T</w:t>
      </w:r>
      <w:r w:rsidR="001F23D3" w:rsidRPr="00500F57">
        <w:t xml:space="preserve">here are </w:t>
      </w:r>
      <w:r w:rsidR="00793F96" w:rsidRPr="00500F57">
        <w:t xml:space="preserve">existing studies </w:t>
      </w:r>
      <w:r w:rsidR="001F23D3" w:rsidRPr="00500F57">
        <w:t>for only a</w:t>
      </w:r>
      <w:r w:rsidR="00793F96" w:rsidRPr="00500F57">
        <w:t xml:space="preserve"> small </w:t>
      </w:r>
      <w:r w:rsidR="001F23D3" w:rsidRPr="00500F57">
        <w:t>n</w:t>
      </w:r>
      <w:r w:rsidR="002F7F8B" w:rsidRPr="00500F57">
        <w:t xml:space="preserve">umber of all </w:t>
      </w:r>
      <w:r w:rsidR="00813132" w:rsidRPr="00500F57">
        <w:t>active recreation types</w:t>
      </w:r>
      <w:r>
        <w:t>.</w:t>
      </w:r>
    </w:p>
    <w:p w:rsidR="00793F96" w:rsidRPr="00500F57" w:rsidRDefault="003A0D6F" w:rsidP="002F27A9">
      <w:pPr>
        <w:pStyle w:val="ListParagraph"/>
      </w:pPr>
      <w:r>
        <w:t>D</w:t>
      </w:r>
      <w:r w:rsidR="00793F96" w:rsidRPr="00500F57">
        <w:t>ifferent methodolog</w:t>
      </w:r>
      <w:r w:rsidR="001F23D3" w:rsidRPr="00500F57">
        <w:t>ies need to be used to estimate economic contributions</w:t>
      </w:r>
      <w:r>
        <w:t>.</w:t>
      </w:r>
    </w:p>
    <w:p w:rsidR="002F7F8B" w:rsidRPr="00500F57" w:rsidRDefault="003A0D6F" w:rsidP="002F27A9">
      <w:pPr>
        <w:pStyle w:val="ListParagraph"/>
      </w:pPr>
      <w:r>
        <w:t>D</w:t>
      </w:r>
      <w:r w:rsidR="00793F96" w:rsidRPr="00500F57">
        <w:t>ifferent time perio</w:t>
      </w:r>
      <w:r w:rsidR="002F7F8B" w:rsidRPr="00500F57">
        <w:t xml:space="preserve">ds </w:t>
      </w:r>
      <w:r w:rsidR="00813132" w:rsidRPr="00500F57">
        <w:t>apply</w:t>
      </w:r>
      <w:r w:rsidR="002F7F8B" w:rsidRPr="00500F57">
        <w:t xml:space="preserve"> to the estimates</w:t>
      </w:r>
      <w:r>
        <w:t>.</w:t>
      </w:r>
    </w:p>
    <w:p w:rsidR="00793F96" w:rsidRPr="00500F57" w:rsidRDefault="003A0D6F" w:rsidP="002F27A9">
      <w:pPr>
        <w:pStyle w:val="ListParagraph"/>
      </w:pPr>
      <w:r>
        <w:t>D</w:t>
      </w:r>
      <w:r w:rsidR="00793F96" w:rsidRPr="00500F57">
        <w:t>ifferent economic measures were reported.</w:t>
      </w:r>
    </w:p>
    <w:p w:rsidR="00D55005" w:rsidRPr="00500F57" w:rsidRDefault="006D6ED4" w:rsidP="002F27A9">
      <w:r w:rsidRPr="00500F57">
        <w:t>Key data sources are summarised in</w:t>
      </w:r>
      <w:r w:rsidR="009464D1" w:rsidRPr="00500F57">
        <w:t xml:space="preserve"> Table 16</w:t>
      </w:r>
      <w:r w:rsidRPr="00500F57">
        <w:t>.</w:t>
      </w:r>
      <w:r w:rsidR="00D55005" w:rsidRPr="00500F57">
        <w:t xml:space="preserve"> </w:t>
      </w:r>
      <w:r w:rsidRPr="00500F57">
        <w:t>Our approaches to estimating participation, economic contribution and welfare contribution are outlined below.</w:t>
      </w:r>
    </w:p>
    <w:p w:rsidR="006D6ED4" w:rsidRPr="00500F57" w:rsidRDefault="00813132" w:rsidP="002F27A9">
      <w:pPr>
        <w:pStyle w:val="Heading2"/>
      </w:pPr>
      <w:r w:rsidRPr="00500F57">
        <w:t>Active recreation</w:t>
      </w:r>
      <w:r w:rsidR="00C27AD6" w:rsidRPr="00500F57">
        <w:t xml:space="preserve"> participation in Victoria</w:t>
      </w:r>
    </w:p>
    <w:p w:rsidR="006D6ED4" w:rsidRPr="00500F57" w:rsidRDefault="00C27AD6" w:rsidP="002F27A9">
      <w:r w:rsidRPr="00500F57">
        <w:t xml:space="preserve">We estimated </w:t>
      </w:r>
      <w:r w:rsidR="00DF11C4" w:rsidRPr="00500F57">
        <w:t>active recreation</w:t>
      </w:r>
      <w:r w:rsidRPr="00500F57">
        <w:t xml:space="preserve"> participation as the</w:t>
      </w:r>
      <w:r w:rsidR="006D6ED4" w:rsidRPr="00500F57">
        <w:t xml:space="preserve"> number of days Victorians spent doing activities </w:t>
      </w:r>
      <w:r w:rsidR="003A0D6F">
        <w:t>in the previous</w:t>
      </w:r>
      <w:r w:rsidR="003A0D6F" w:rsidRPr="00500F57">
        <w:t xml:space="preserve"> </w:t>
      </w:r>
      <w:r w:rsidR="006D6ED4" w:rsidRPr="00500F57">
        <w:t>year (and associated results) using one of two sources</w:t>
      </w:r>
      <w:r w:rsidRPr="00500F57">
        <w:t>:</w:t>
      </w:r>
    </w:p>
    <w:p w:rsidR="009464D1" w:rsidRPr="00500F57" w:rsidRDefault="006D6ED4" w:rsidP="002F27A9">
      <w:pPr>
        <w:pStyle w:val="ListParagraph"/>
      </w:pPr>
      <w:r w:rsidRPr="00500F57">
        <w:t>participation surveys</w:t>
      </w:r>
      <w:r w:rsidR="003A0D6F">
        <w:t xml:space="preserve"> specific to active recreation</w:t>
      </w:r>
      <w:r w:rsidRPr="00500F57">
        <w:t>, where the</w:t>
      </w:r>
      <w:r w:rsidR="003A0D6F">
        <w:t>y</w:t>
      </w:r>
      <w:r w:rsidRPr="00500F57">
        <w:t xml:space="preserve"> were available</w:t>
      </w:r>
    </w:p>
    <w:p w:rsidR="00D55005" w:rsidRPr="00500F57" w:rsidRDefault="003A0D6F" w:rsidP="002F27A9">
      <w:pPr>
        <w:pStyle w:val="ListParagraph"/>
      </w:pPr>
      <w:r>
        <w:t xml:space="preserve">the </w:t>
      </w:r>
      <w:r w:rsidR="00813132" w:rsidRPr="00500F57">
        <w:t>Australian Sport Commission’s Participation in Exercise, Recreation and Sport Survey (ERASS).</w:t>
      </w:r>
      <w:r w:rsidR="00DF2BAE" w:rsidRPr="00500F57">
        <w:rPr>
          <w:rStyle w:val="FootnoteReference"/>
        </w:rPr>
        <w:footnoteReference w:id="11"/>
      </w:r>
    </w:p>
    <w:p w:rsidR="006D6ED4" w:rsidRPr="00500F57" w:rsidRDefault="003A0D6F" w:rsidP="002F27A9">
      <w:pPr>
        <w:pStyle w:val="Heading3"/>
        <w:ind w:left="0"/>
      </w:pPr>
      <w:r>
        <w:lastRenderedPageBreak/>
        <w:t>P</w:t>
      </w:r>
      <w:r w:rsidR="006D6ED4" w:rsidRPr="00500F57">
        <w:t>articipation surveys</w:t>
      </w:r>
    </w:p>
    <w:p w:rsidR="00D55005" w:rsidRPr="00500F57" w:rsidRDefault="006D6ED4" w:rsidP="002F27A9">
      <w:r w:rsidRPr="00500F57">
        <w:t xml:space="preserve">Where dedicated surveys are available for specific activities (such as skiing in the </w:t>
      </w:r>
      <w:r w:rsidR="003A0D6F">
        <w:t xml:space="preserve">Victorian </w:t>
      </w:r>
      <w:r w:rsidR="003A0D6F" w:rsidRPr="00500F57">
        <w:t xml:space="preserve">high country </w:t>
      </w:r>
      <w:r w:rsidR="006671BC" w:rsidRPr="00500F57">
        <w:t>and walking, swimming, running and cycling activities in parks operated by Parks Victoria</w:t>
      </w:r>
      <w:r w:rsidRPr="00500F57">
        <w:t>), we generally used th</w:t>
      </w:r>
      <w:r w:rsidR="003A0D6F">
        <w:t>o</w:t>
      </w:r>
      <w:r w:rsidRPr="00500F57">
        <w:t>se</w:t>
      </w:r>
      <w:r w:rsidR="00F46697" w:rsidRPr="00500F57">
        <w:t xml:space="preserve"> participation numbers</w:t>
      </w:r>
      <w:r w:rsidRPr="00500F57">
        <w:t>.</w:t>
      </w:r>
      <w:r w:rsidR="00D55005" w:rsidRPr="00500F57">
        <w:t xml:space="preserve"> </w:t>
      </w:r>
      <w:r w:rsidR="00896FE3" w:rsidRPr="00500F57">
        <w:t xml:space="preserve">These reports also </w:t>
      </w:r>
      <w:r w:rsidR="00DF2BAE">
        <w:t>usually</w:t>
      </w:r>
      <w:r w:rsidR="00DF2BAE" w:rsidRPr="00500F57">
        <w:t xml:space="preserve"> </w:t>
      </w:r>
      <w:r w:rsidR="00896FE3" w:rsidRPr="00500F57">
        <w:t>include estimate</w:t>
      </w:r>
      <w:r w:rsidR="00FF401B" w:rsidRPr="00500F57">
        <w:t>s</w:t>
      </w:r>
      <w:r w:rsidR="00896FE3" w:rsidRPr="00500F57">
        <w:t xml:space="preserve"> of how long people spend per day on </w:t>
      </w:r>
      <w:r w:rsidR="00DF11C4" w:rsidRPr="00500F57">
        <w:t>active recreation</w:t>
      </w:r>
      <w:r w:rsidR="00896FE3" w:rsidRPr="00500F57">
        <w:t>.</w:t>
      </w:r>
    </w:p>
    <w:p w:rsidR="00D55005" w:rsidRPr="00500F57" w:rsidRDefault="00F46697" w:rsidP="002F27A9">
      <w:r w:rsidRPr="00500F57">
        <w:t>In some cases</w:t>
      </w:r>
      <w:r w:rsidR="003A0D6F">
        <w:t>,</w:t>
      </w:r>
      <w:r w:rsidRPr="00500F57">
        <w:t xml:space="preserve"> activity</w:t>
      </w:r>
      <w:r w:rsidR="003A0D6F">
        <w:t>-</w:t>
      </w:r>
      <w:r w:rsidRPr="00500F57">
        <w:t>specific surveys do not cover all of Victoria</w:t>
      </w:r>
      <w:r w:rsidR="003A0D6F">
        <w:t xml:space="preserve"> (f</w:t>
      </w:r>
      <w:r w:rsidRPr="00500F57">
        <w:t xml:space="preserve">or example, </w:t>
      </w:r>
      <w:r w:rsidR="00DF2BAE">
        <w:t xml:space="preserve">surveys of </w:t>
      </w:r>
      <w:r w:rsidRPr="00500F57">
        <w:t>fishing in Gippsland</w:t>
      </w:r>
      <w:r w:rsidR="002C56B7">
        <w:t>)</w:t>
      </w:r>
      <w:r w:rsidR="00896FE3" w:rsidRPr="00500F57">
        <w:t>.</w:t>
      </w:r>
      <w:r w:rsidR="00D55005" w:rsidRPr="00500F57">
        <w:t xml:space="preserve"> </w:t>
      </w:r>
      <w:r w:rsidR="00896FE3" w:rsidRPr="00500F57">
        <w:t xml:space="preserve">We used </w:t>
      </w:r>
      <w:r w:rsidR="002C56B7">
        <w:t>such</w:t>
      </w:r>
      <w:r w:rsidR="002C56B7" w:rsidRPr="00500F57">
        <w:t xml:space="preserve"> </w:t>
      </w:r>
      <w:r w:rsidR="00896FE3" w:rsidRPr="00500F57">
        <w:t xml:space="preserve">survey data where it is available to </w:t>
      </w:r>
      <w:r w:rsidR="002C56B7">
        <w:t>estimate</w:t>
      </w:r>
      <w:r w:rsidR="002C56B7" w:rsidRPr="00500F57">
        <w:t xml:space="preserve"> </w:t>
      </w:r>
      <w:r w:rsidR="00896FE3" w:rsidRPr="00500F57">
        <w:t>for other regions in Victoria, using the approach discussed further below.</w:t>
      </w:r>
    </w:p>
    <w:p w:rsidR="006D6ED4" w:rsidRPr="00500F57" w:rsidRDefault="000D67E2" w:rsidP="002F27A9">
      <w:pPr>
        <w:pStyle w:val="Heading3"/>
        <w:ind w:left="0"/>
      </w:pPr>
      <w:r w:rsidRPr="00500F57">
        <w:t xml:space="preserve">Participation in </w:t>
      </w:r>
      <w:r w:rsidR="00813132" w:rsidRPr="00500F57">
        <w:t>Exercise, Recreation and Sport Survey</w:t>
      </w:r>
    </w:p>
    <w:p w:rsidR="00DF67FE" w:rsidRPr="00500F57" w:rsidRDefault="00DF67FE" w:rsidP="002F27A9">
      <w:r w:rsidRPr="00500F57">
        <w:t xml:space="preserve">The </w:t>
      </w:r>
      <w:r w:rsidR="00813132" w:rsidRPr="00500F57">
        <w:t xml:space="preserve">ERASS </w:t>
      </w:r>
      <w:r w:rsidRPr="00500F57">
        <w:t xml:space="preserve">was a joint initiative of the Australian Sports Commission and </w:t>
      </w:r>
      <w:r w:rsidR="002C56B7" w:rsidRPr="00500F57">
        <w:t>state and territory departments of sport and recreation</w:t>
      </w:r>
      <w:r w:rsidR="00C91694">
        <w:t>. It was</w:t>
      </w:r>
      <w:r w:rsidRPr="00500F57">
        <w:t xml:space="preserve"> conducted on an annual basis between 2001 and 2010.</w:t>
      </w:r>
    </w:p>
    <w:p w:rsidR="00DF67FE" w:rsidRPr="00500F57" w:rsidRDefault="00DF67FE" w:rsidP="002F27A9">
      <w:r w:rsidRPr="00500F57">
        <w:t>The ERASS collected information on the frequency, duration, nature and type of activities participated in by pe</w:t>
      </w:r>
      <w:r w:rsidR="002C56B7">
        <w:t>ople</w:t>
      </w:r>
      <w:r w:rsidRPr="00500F57">
        <w:t xml:space="preserve"> aged 1</w:t>
      </w:r>
      <w:r w:rsidR="00D55005" w:rsidRPr="00500F57">
        <w:t>5 y</w:t>
      </w:r>
      <w:r w:rsidRPr="00500F57">
        <w:t xml:space="preserve">ears </w:t>
      </w:r>
      <w:r w:rsidR="002C56B7">
        <w:t>or</w:t>
      </w:r>
      <w:r w:rsidR="002C56B7" w:rsidRPr="00500F57">
        <w:t xml:space="preserve"> </w:t>
      </w:r>
      <w:r w:rsidRPr="00500F57">
        <w:t>over for exercise, recreation or sport during the 1</w:t>
      </w:r>
      <w:r w:rsidR="00D55005" w:rsidRPr="00500F57">
        <w:t>2 m</w:t>
      </w:r>
      <w:r w:rsidRPr="00500F57">
        <w:t>onths prior to interview. Participation means active ‘playing’ participation, and does not include coaching, refereeing, being a spectator or activities related to work, household chores</w:t>
      </w:r>
      <w:r w:rsidR="002C56B7">
        <w:t>,</w:t>
      </w:r>
      <w:r w:rsidRPr="00500F57">
        <w:t xml:space="preserve"> gardening duties or active transport.</w:t>
      </w:r>
    </w:p>
    <w:p w:rsidR="002C56B7" w:rsidRDefault="00DF67FE" w:rsidP="002F27A9">
      <w:r w:rsidRPr="00500F57">
        <w:t>We agreed with D</w:t>
      </w:r>
      <w:r w:rsidR="00DF11C4" w:rsidRPr="00500F57">
        <w:t>H</w:t>
      </w:r>
      <w:r w:rsidRPr="00500F57">
        <w:t xml:space="preserve">HS to use the ERASS survey data in preference </w:t>
      </w:r>
      <w:r w:rsidR="002C56B7">
        <w:t>to</w:t>
      </w:r>
      <w:r w:rsidR="002C56B7" w:rsidRPr="00500F57">
        <w:t xml:space="preserve"> </w:t>
      </w:r>
      <w:r w:rsidRPr="00500F57">
        <w:t xml:space="preserve">available ABS Participation in Sport and Physical Recreation </w:t>
      </w:r>
      <w:r w:rsidR="002C56B7">
        <w:t>S</w:t>
      </w:r>
      <w:r w:rsidRPr="00500F57">
        <w:t>urvey data for 2013</w:t>
      </w:r>
      <w:r w:rsidR="002C56B7">
        <w:t>–</w:t>
      </w:r>
      <w:r w:rsidRPr="00500F57">
        <w:t>15.</w:t>
      </w:r>
      <w:r w:rsidR="002C56B7" w:rsidRPr="002C56B7">
        <w:t xml:space="preserve"> </w:t>
      </w:r>
      <w:r w:rsidR="002C56B7" w:rsidRPr="00500F57">
        <w:t>The ERASS surveys distinguish between organised and unorganised physical activities. For the purposes of this analysis</w:t>
      </w:r>
      <w:r w:rsidR="002C56B7">
        <w:t>,</w:t>
      </w:r>
      <w:r w:rsidR="002C56B7" w:rsidRPr="00500F57">
        <w:t xml:space="preserve"> we included those activities that are unorganised as a proxy for active recreation. We see this as a key but reasonable assumption.</w:t>
      </w:r>
    </w:p>
    <w:p w:rsidR="00DF67FE" w:rsidRPr="00500F57" w:rsidRDefault="00DF67FE" w:rsidP="002F27A9">
      <w:r w:rsidRPr="00500F57">
        <w:t>The ERASS surveys were used to:</w:t>
      </w:r>
    </w:p>
    <w:p w:rsidR="00DF67FE" w:rsidRPr="00500F57" w:rsidRDefault="002C56B7" w:rsidP="002F27A9">
      <w:pPr>
        <w:pStyle w:val="ListParagraph"/>
      </w:pPr>
      <w:r>
        <w:t>c</w:t>
      </w:r>
      <w:r w:rsidR="00DF67FE" w:rsidRPr="00500F57">
        <w:t xml:space="preserve">lassify physical activities </w:t>
      </w:r>
      <w:r>
        <w:t>as</w:t>
      </w:r>
      <w:r w:rsidRPr="00500F57">
        <w:t xml:space="preserve"> </w:t>
      </w:r>
      <w:r w:rsidR="00DF67FE" w:rsidRPr="00500F57">
        <w:t xml:space="preserve">sport </w:t>
      </w:r>
      <w:r>
        <w:t>or</w:t>
      </w:r>
      <w:r w:rsidRPr="00500F57">
        <w:t xml:space="preserve"> </w:t>
      </w:r>
      <w:r w:rsidR="00DF67FE" w:rsidRPr="00500F57">
        <w:t>active recreation</w:t>
      </w:r>
    </w:p>
    <w:p w:rsidR="00F81B61" w:rsidRDefault="002C56B7" w:rsidP="002F27A9">
      <w:pPr>
        <w:pStyle w:val="ListParagraph"/>
      </w:pPr>
      <w:r>
        <w:t>e</w:t>
      </w:r>
      <w:r w:rsidR="00DF67FE" w:rsidRPr="00500F57">
        <w:t xml:space="preserve">stimate activity frequency and duration </w:t>
      </w:r>
      <w:r w:rsidR="00F81B61">
        <w:t>for sport and active recreation</w:t>
      </w:r>
    </w:p>
    <w:p w:rsidR="004E7708" w:rsidRDefault="002C56B7" w:rsidP="002F27A9">
      <w:pPr>
        <w:pStyle w:val="ListParagraph"/>
      </w:pPr>
      <w:r>
        <w:t>d</w:t>
      </w:r>
      <w:r w:rsidR="00DF67FE" w:rsidRPr="00500F57">
        <w:t>erive relationships between the type of participation in physical activity for exercise, recreation and sport and social, economic, and demographic factors.</w:t>
      </w:r>
    </w:p>
    <w:p w:rsidR="00813132" w:rsidRPr="00500F57" w:rsidRDefault="00F81B61" w:rsidP="002F27A9">
      <w:r>
        <w:t xml:space="preserve">Table 1 </w:t>
      </w:r>
      <w:r w:rsidR="00DF67FE" w:rsidRPr="00500F57">
        <w:t xml:space="preserve">in the body of this report </w:t>
      </w:r>
      <w:r w:rsidR="00813132" w:rsidRPr="00500F57">
        <w:t>shows the activities included in our evaluation, and the</w:t>
      </w:r>
      <w:r w:rsidR="002C56B7">
        <w:t xml:space="preserve"> proportion of each allocated </w:t>
      </w:r>
      <w:r w:rsidR="00813132" w:rsidRPr="00500F57">
        <w:t xml:space="preserve">to </w:t>
      </w:r>
      <w:r w:rsidR="002C56B7">
        <w:t xml:space="preserve">the </w:t>
      </w:r>
      <w:r w:rsidR="00813132" w:rsidRPr="00500F57">
        <w:t xml:space="preserve">sport </w:t>
      </w:r>
      <w:r w:rsidR="002C56B7">
        <w:t xml:space="preserve">and </w:t>
      </w:r>
      <w:r w:rsidR="00813132" w:rsidRPr="00500F57">
        <w:t>active recreation</w:t>
      </w:r>
      <w:r w:rsidR="002C56B7">
        <w:t xml:space="preserve"> categories</w:t>
      </w:r>
      <w:r w:rsidR="00813132" w:rsidRPr="00500F57">
        <w:t>.</w:t>
      </w:r>
    </w:p>
    <w:p w:rsidR="00D55005" w:rsidRPr="00500F57" w:rsidRDefault="00813132" w:rsidP="002F27A9">
      <w:r w:rsidRPr="00500F57">
        <w:lastRenderedPageBreak/>
        <w:t xml:space="preserve">Many of the activities in </w:t>
      </w:r>
      <w:r w:rsidR="00DF67FE" w:rsidRPr="00500F57">
        <w:t xml:space="preserve">Table 1 </w:t>
      </w:r>
      <w:r w:rsidRPr="00500F57">
        <w:t>may be organised through club</w:t>
      </w:r>
      <w:r w:rsidR="00C91694">
        <w:t>s</w:t>
      </w:r>
      <w:r w:rsidRPr="00500F57">
        <w:t>. For the purposes of this analysis</w:t>
      </w:r>
      <w:r w:rsidR="002C56B7">
        <w:t>,</w:t>
      </w:r>
      <w:r w:rsidRPr="00500F57">
        <w:t xml:space="preserve"> we assumed that club activities are not </w:t>
      </w:r>
      <w:r w:rsidR="00DF11C4" w:rsidRPr="00500F57">
        <w:t xml:space="preserve">competition </w:t>
      </w:r>
      <w:r w:rsidRPr="00500F57">
        <w:t>sport. Where activities straddle the line between sport and active recreation</w:t>
      </w:r>
      <w:r w:rsidR="002C56B7">
        <w:t>,</w:t>
      </w:r>
      <w:r w:rsidRPr="00500F57">
        <w:t xml:space="preserve"> we apportioned participation </w:t>
      </w:r>
      <w:r w:rsidR="002C56B7">
        <w:t>in</w:t>
      </w:r>
      <w:r w:rsidR="002C56B7" w:rsidRPr="00500F57">
        <w:t xml:space="preserve"> </w:t>
      </w:r>
      <w:r w:rsidRPr="00500F57">
        <w:t>th</w:t>
      </w:r>
      <w:r w:rsidR="00C91694">
        <w:t>o</w:t>
      </w:r>
      <w:r w:rsidRPr="00500F57">
        <w:t>se activities between active recreation and competitive sport.</w:t>
      </w:r>
      <w:r w:rsidR="00D55005" w:rsidRPr="00500F57">
        <w:t xml:space="preserve"> </w:t>
      </w:r>
      <w:r w:rsidRPr="00500F57">
        <w:t>The apportionment is also shown in Table 1.</w:t>
      </w:r>
    </w:p>
    <w:p w:rsidR="00D55005" w:rsidRPr="00500F57" w:rsidRDefault="00506679" w:rsidP="002F27A9">
      <w:r w:rsidRPr="00500F57">
        <w:t>W</w:t>
      </w:r>
      <w:r w:rsidR="00F46697" w:rsidRPr="00500F57">
        <w:t>e estimated participation based on</w:t>
      </w:r>
      <w:r w:rsidRPr="00500F57">
        <w:t xml:space="preserve"> the average participation reported</w:t>
      </w:r>
      <w:r w:rsidR="00F46697" w:rsidRPr="00500F57">
        <w:t xml:space="preserve"> </w:t>
      </w:r>
      <w:r w:rsidRPr="00500F57">
        <w:t xml:space="preserve">in the quarterly </w:t>
      </w:r>
      <w:r w:rsidRPr="000F0AFD">
        <w:t>ERASS</w:t>
      </w:r>
      <w:r w:rsidR="005E3B86">
        <w:t xml:space="preserve"> reports</w:t>
      </w:r>
      <w:r w:rsidR="009F4D31" w:rsidRPr="00B62ACD">
        <w:t xml:space="preserve"> </w:t>
      </w:r>
      <w:r w:rsidRPr="00B62ACD">
        <w:t>for</w:t>
      </w:r>
      <w:r w:rsidRPr="00500F57">
        <w:t xml:space="preserve"> the years </w:t>
      </w:r>
      <w:r w:rsidR="005E3B86">
        <w:t xml:space="preserve">from </w:t>
      </w:r>
      <w:r w:rsidRPr="00500F57">
        <w:t>200</w:t>
      </w:r>
      <w:r w:rsidR="00D55005" w:rsidRPr="00500F57">
        <w:t>7</w:t>
      </w:r>
      <w:r w:rsidR="005E3B86">
        <w:t xml:space="preserve"> to </w:t>
      </w:r>
      <w:r w:rsidR="00D55005" w:rsidRPr="00500F57">
        <w:t>2</w:t>
      </w:r>
      <w:r w:rsidRPr="00500F57">
        <w:t>010</w:t>
      </w:r>
      <w:r w:rsidR="009F4D31" w:rsidRPr="00500F57">
        <w:t>.</w:t>
      </w:r>
      <w:r w:rsidR="00D55005" w:rsidRPr="00500F57">
        <w:t xml:space="preserve"> </w:t>
      </w:r>
      <w:r w:rsidRPr="00500F57">
        <w:t>This approach assumes that there have not been any significant changes in</w:t>
      </w:r>
      <w:r w:rsidR="00DF67FE" w:rsidRPr="00500F57">
        <w:t xml:space="preserve"> participation </w:t>
      </w:r>
      <w:r w:rsidR="005E3B86">
        <w:t>since</w:t>
      </w:r>
      <w:r w:rsidR="005E3B86" w:rsidRPr="00500F57">
        <w:t xml:space="preserve"> </w:t>
      </w:r>
      <w:r w:rsidR="00DF67FE" w:rsidRPr="00500F57">
        <w:t xml:space="preserve">that time and that active recreation participation rates and durations have not changed significantly since </w:t>
      </w:r>
      <w:r w:rsidR="005E3B86">
        <w:t>then</w:t>
      </w:r>
      <w:r w:rsidR="00DF67FE" w:rsidRPr="00500F57">
        <w:t>.</w:t>
      </w:r>
      <w:r w:rsidRPr="00500F57">
        <w:t xml:space="preserve"> Taking a longer time period </w:t>
      </w:r>
      <w:r w:rsidR="00DF67FE" w:rsidRPr="00500F57">
        <w:t xml:space="preserve">than one year </w:t>
      </w:r>
      <w:r w:rsidRPr="00500F57">
        <w:t xml:space="preserve">also allows </w:t>
      </w:r>
      <w:r w:rsidR="005E3B86">
        <w:t xml:space="preserve">for the </w:t>
      </w:r>
      <w:r w:rsidRPr="00500F57">
        <w:t>dilution of any one-off effects that would have a greater effect on a single year</w:t>
      </w:r>
      <w:r w:rsidR="00C91694">
        <w:t>’s</w:t>
      </w:r>
      <w:r w:rsidRPr="00500F57">
        <w:t xml:space="preserve"> or quarter’s results.</w:t>
      </w:r>
    </w:p>
    <w:p w:rsidR="00D55005" w:rsidRPr="00500F57" w:rsidRDefault="006D6ED4" w:rsidP="002F27A9">
      <w:r w:rsidRPr="00500F57">
        <w:t xml:space="preserve">The participation rate </w:t>
      </w:r>
      <w:r w:rsidR="00F46697" w:rsidRPr="00500F57">
        <w:t xml:space="preserve">in this data </w:t>
      </w:r>
      <w:r w:rsidRPr="00500F57">
        <w:t xml:space="preserve">is the number of people aged 15 </w:t>
      </w:r>
      <w:r w:rsidR="005E3B86">
        <w:t>or</w:t>
      </w:r>
      <w:r w:rsidR="005E3B86" w:rsidRPr="00500F57">
        <w:t xml:space="preserve"> </w:t>
      </w:r>
      <w:r w:rsidRPr="00500F57">
        <w:t>over who participated in each activity</w:t>
      </w:r>
      <w:r w:rsidR="005E3B86">
        <w:t>,</w:t>
      </w:r>
      <w:r w:rsidRPr="00500F57">
        <w:t xml:space="preserve"> multiplied by the number of occasions that they participated</w:t>
      </w:r>
      <w:r w:rsidR="00DF67FE" w:rsidRPr="00500F57">
        <w:t xml:space="preserve"> and </w:t>
      </w:r>
      <w:r w:rsidR="005E3B86">
        <w:t xml:space="preserve">by the </w:t>
      </w:r>
      <w:r w:rsidR="00DF67FE" w:rsidRPr="00500F57">
        <w:t>duration</w:t>
      </w:r>
      <w:r w:rsidRPr="00500F57">
        <w:t>.</w:t>
      </w:r>
    </w:p>
    <w:p w:rsidR="006D6ED4" w:rsidRPr="00500F57" w:rsidRDefault="00F46697" w:rsidP="002F27A9">
      <w:pPr>
        <w:pStyle w:val="Heading2"/>
      </w:pPr>
      <w:r w:rsidRPr="00500F57">
        <w:t>Total expenditure</w:t>
      </w:r>
      <w:r w:rsidR="006D6ED4" w:rsidRPr="00500F57">
        <w:t xml:space="preserve"> on </w:t>
      </w:r>
      <w:r w:rsidR="00506679" w:rsidRPr="00500F57">
        <w:t>active recreation</w:t>
      </w:r>
      <w:r w:rsidR="006D6ED4" w:rsidRPr="00500F57">
        <w:t xml:space="preserve"> in Victoria last year</w:t>
      </w:r>
    </w:p>
    <w:p w:rsidR="006D6ED4" w:rsidRPr="00500F57" w:rsidRDefault="006D6ED4" w:rsidP="002F27A9">
      <w:r w:rsidRPr="00500F57">
        <w:t>Th</w:t>
      </w:r>
      <w:r w:rsidR="005E3B86">
        <w:t>ese figures</w:t>
      </w:r>
      <w:r w:rsidRPr="00500F57">
        <w:t xml:space="preserve"> represent the value of spending from identified sources in </w:t>
      </w:r>
      <w:r w:rsidR="000E51E7" w:rsidRPr="00500F57">
        <w:t xml:space="preserve">the </w:t>
      </w:r>
      <w:r w:rsidRPr="00500F57">
        <w:t>past year.</w:t>
      </w:r>
      <w:r w:rsidR="00D55005" w:rsidRPr="00500F57">
        <w:t xml:space="preserve"> </w:t>
      </w:r>
      <w:r w:rsidRPr="00500F57">
        <w:t>The key sources for this analysis were</w:t>
      </w:r>
      <w:r w:rsidR="005E3B86">
        <w:t xml:space="preserve"> as follows.</w:t>
      </w:r>
    </w:p>
    <w:p w:rsidR="00D55005" w:rsidRPr="00913B3F" w:rsidRDefault="00F64398" w:rsidP="002F27A9">
      <w:pPr>
        <w:pStyle w:val="Heading3"/>
        <w:ind w:left="0"/>
      </w:pPr>
      <w:r w:rsidRPr="00913B3F">
        <w:t>Trip</w:t>
      </w:r>
      <w:r w:rsidR="005E3B86" w:rsidRPr="00913B3F">
        <w:t>-</w:t>
      </w:r>
      <w:r w:rsidRPr="00913B3F">
        <w:t xml:space="preserve">based expenditure using </w:t>
      </w:r>
      <w:r w:rsidR="006D6ED4" w:rsidRPr="00913B3F">
        <w:t xml:space="preserve">Tourism Research Australia estimates of </w:t>
      </w:r>
      <w:r w:rsidR="005E3B86" w:rsidRPr="00913B3F">
        <w:t xml:space="preserve">the </w:t>
      </w:r>
      <w:r w:rsidR="006D6ED4" w:rsidRPr="00913B3F">
        <w:t>number of pe</w:t>
      </w:r>
      <w:r w:rsidR="005E3B86" w:rsidRPr="00913B3F">
        <w:t>ople</w:t>
      </w:r>
      <w:r w:rsidR="006D6ED4" w:rsidRPr="00913B3F">
        <w:t xml:space="preserve"> aged 15 </w:t>
      </w:r>
      <w:r w:rsidR="005E3B86" w:rsidRPr="00913B3F">
        <w:t xml:space="preserve">or </w:t>
      </w:r>
      <w:r w:rsidR="006D6ED4" w:rsidRPr="00913B3F">
        <w:t xml:space="preserve">over who </w:t>
      </w:r>
      <w:r w:rsidR="00D1432E" w:rsidRPr="00913B3F">
        <w:t>visited each region in Victoria</w:t>
      </w:r>
    </w:p>
    <w:p w:rsidR="00D55005" w:rsidRPr="00500F57" w:rsidRDefault="00F64398" w:rsidP="002F27A9">
      <w:r w:rsidRPr="00500F57">
        <w:t>This survey captures expenditure by domestic day visitors, who are people who travel for a round</w:t>
      </w:r>
      <w:r w:rsidR="005E3B86">
        <w:t>-</w:t>
      </w:r>
      <w:r w:rsidRPr="00500F57">
        <w:t>trip distance of at least 5</w:t>
      </w:r>
      <w:r w:rsidR="00D55005" w:rsidRPr="00500F57">
        <w:t>0 k</w:t>
      </w:r>
      <w:r w:rsidRPr="00500F57">
        <w:t>ilometres and who do not spend a night away from home as part of their travel. It also captures overnight domestic day visitors, who ar</w:t>
      </w:r>
      <w:r w:rsidR="00D1432E" w:rsidRPr="00500F57">
        <w:t>e visitors who travel at least 5</w:t>
      </w:r>
      <w:r w:rsidR="00D55005" w:rsidRPr="00500F57">
        <w:t>0 k</w:t>
      </w:r>
      <w:r w:rsidRPr="00500F57">
        <w:t>ilometres and stay overnight.</w:t>
      </w:r>
    </w:p>
    <w:p w:rsidR="006D6ED4" w:rsidRPr="00500F57" w:rsidRDefault="006D6ED4" w:rsidP="002F27A9">
      <w:r w:rsidRPr="00500F57">
        <w:t>The survey also lists the activities engaged in b</w:t>
      </w:r>
      <w:r w:rsidR="00F64398" w:rsidRPr="00500F57">
        <w:t>y each person during the</w:t>
      </w:r>
      <w:r w:rsidR="005E3B86">
        <w:t>ir</w:t>
      </w:r>
      <w:r w:rsidR="00F64398" w:rsidRPr="00500F57">
        <w:t xml:space="preserve"> visit. </w:t>
      </w:r>
      <w:r w:rsidRPr="00500F57">
        <w:t>Separately, TRA estimates average expenditure by day</w:t>
      </w:r>
      <w:r w:rsidR="00C91694">
        <w:t>-</w:t>
      </w:r>
      <w:r w:rsidRPr="00500F57">
        <w:t>trippers and overnight stayers in each region</w:t>
      </w:r>
      <w:r w:rsidR="00F64398" w:rsidRPr="00500F57">
        <w:t xml:space="preserve"> for domestic and international visitors</w:t>
      </w:r>
      <w:r w:rsidRPr="00500F57">
        <w:t>.</w:t>
      </w:r>
    </w:p>
    <w:p w:rsidR="00D55005" w:rsidRPr="00500F57" w:rsidRDefault="004672DB" w:rsidP="002F27A9">
      <w:r w:rsidRPr="00500F57">
        <w:t>Where we used TRA data to</w:t>
      </w:r>
      <w:r w:rsidR="00F64398" w:rsidRPr="00500F57">
        <w:t xml:space="preserve"> estimate</w:t>
      </w:r>
      <w:r w:rsidR="006D6ED4" w:rsidRPr="00500F57">
        <w:t xml:space="preserve"> </w:t>
      </w:r>
      <w:r w:rsidR="00D1432E" w:rsidRPr="00500F57">
        <w:t>trip</w:t>
      </w:r>
      <w:r w:rsidR="005E3B86">
        <w:t>-</w:t>
      </w:r>
      <w:r w:rsidR="00D1432E" w:rsidRPr="00500F57">
        <w:t>based active recreation</w:t>
      </w:r>
      <w:r w:rsidRPr="00500F57">
        <w:t xml:space="preserve"> expenditure, we </w:t>
      </w:r>
      <w:r w:rsidR="006D6ED4" w:rsidRPr="00500F57">
        <w:t xml:space="preserve">combined </w:t>
      </w:r>
      <w:r w:rsidRPr="00500F57">
        <w:t xml:space="preserve">activities </w:t>
      </w:r>
      <w:r w:rsidR="006D6ED4" w:rsidRPr="00500F57">
        <w:t>to provide an estimate of tourism expend</w:t>
      </w:r>
      <w:r w:rsidRPr="00500F57">
        <w:t>iture in each region and then</w:t>
      </w:r>
      <w:r w:rsidR="006D6ED4" w:rsidRPr="00500F57">
        <w:t xml:space="preserve"> allocate</w:t>
      </w:r>
      <w:r w:rsidRPr="00500F57">
        <w:t>d</w:t>
      </w:r>
      <w:r w:rsidR="006D6ED4" w:rsidRPr="00500F57">
        <w:t xml:space="preserve"> that</w:t>
      </w:r>
      <w:r w:rsidRPr="00500F57">
        <w:t xml:space="preserve"> total</w:t>
      </w:r>
      <w:r w:rsidR="006D6ED4" w:rsidRPr="00500F57">
        <w:t xml:space="preserve"> expenditure </w:t>
      </w:r>
      <w:r w:rsidR="005E3B86">
        <w:t>to</w:t>
      </w:r>
      <w:r w:rsidR="005E3B86" w:rsidRPr="00500F57">
        <w:t xml:space="preserve"> </w:t>
      </w:r>
      <w:r w:rsidR="006D6ED4" w:rsidRPr="00500F57">
        <w:t>different activities according to their relative frequency of participation</w:t>
      </w:r>
      <w:r w:rsidRPr="00500F57">
        <w:t xml:space="preserve">, which </w:t>
      </w:r>
      <w:r w:rsidR="009B5D33">
        <w:t>was</w:t>
      </w:r>
      <w:r w:rsidRPr="00500F57">
        <w:t xml:space="preserve"> defined using the approach for estimating </w:t>
      </w:r>
      <w:r w:rsidR="00DF11C4" w:rsidRPr="00500F57">
        <w:t>active recreation</w:t>
      </w:r>
      <w:r w:rsidRPr="00500F57">
        <w:t xml:space="preserve"> participation rates discussed above</w:t>
      </w:r>
      <w:r w:rsidR="006D6ED4" w:rsidRPr="00500F57">
        <w:t>.</w:t>
      </w:r>
      <w:r w:rsidRPr="00500F57">
        <w:t xml:space="preserve"> Trip expenditures </w:t>
      </w:r>
      <w:r w:rsidR="005E3B86">
        <w:t>were</w:t>
      </w:r>
      <w:r w:rsidR="006D6ED4" w:rsidRPr="00500F57">
        <w:t xml:space="preserve"> allocated to activities in proportion to the relative number of activities undertaken in each region</w:t>
      </w:r>
      <w:r w:rsidR="00D1432E" w:rsidRPr="00500F57">
        <w:t xml:space="preserve"> and relative to other activities undertaken </w:t>
      </w:r>
      <w:r w:rsidR="009B5D33">
        <w:t>during</w:t>
      </w:r>
      <w:r w:rsidR="009B5D33" w:rsidRPr="00500F57">
        <w:t xml:space="preserve"> </w:t>
      </w:r>
      <w:r w:rsidR="00D1432E" w:rsidRPr="00500F57">
        <w:t>the trip</w:t>
      </w:r>
      <w:r w:rsidR="006D6ED4" w:rsidRPr="00500F57">
        <w:t>.</w:t>
      </w:r>
      <w:r w:rsidR="00D55005" w:rsidRPr="00500F57">
        <w:t xml:space="preserve"> </w:t>
      </w:r>
      <w:r w:rsidR="00BC36B8" w:rsidRPr="00500F57">
        <w:t>This assumes similar trip</w:t>
      </w:r>
      <w:r w:rsidR="005E3B86">
        <w:t>-</w:t>
      </w:r>
      <w:r w:rsidR="00BC36B8" w:rsidRPr="00500F57">
        <w:t>related expenses for most activity categories.</w:t>
      </w:r>
    </w:p>
    <w:p w:rsidR="00BC36B8" w:rsidRPr="00500F57" w:rsidRDefault="00506679" w:rsidP="002F27A9">
      <w:pPr>
        <w:pStyle w:val="Heading3"/>
        <w:ind w:left="0"/>
      </w:pPr>
      <w:r w:rsidRPr="00500F57">
        <w:lastRenderedPageBreak/>
        <w:t>S</w:t>
      </w:r>
      <w:r w:rsidR="00BC36B8" w:rsidRPr="00500F57">
        <w:t>pecific expenditure surveys</w:t>
      </w:r>
    </w:p>
    <w:p w:rsidR="00D55005" w:rsidRPr="00500F57" w:rsidRDefault="00BC36B8" w:rsidP="002F27A9">
      <w:r w:rsidRPr="00500F57">
        <w:t xml:space="preserve">Where dedicated surveys are available for specific </w:t>
      </w:r>
      <w:r w:rsidR="00D1432E" w:rsidRPr="00500F57">
        <w:t>active recreation activities</w:t>
      </w:r>
      <w:r w:rsidRPr="00500F57">
        <w:t xml:space="preserve"> (such as skiing in the </w:t>
      </w:r>
      <w:r w:rsidR="005E3B86" w:rsidRPr="00500F57">
        <w:t>high country</w:t>
      </w:r>
      <w:r w:rsidRPr="00500F57">
        <w:t>), we generally used the trip and equipment expenditure figures from th</w:t>
      </w:r>
      <w:r w:rsidR="005E3B86">
        <w:t>o</w:t>
      </w:r>
      <w:r w:rsidRPr="00500F57">
        <w:t>se studies and grossed them up.</w:t>
      </w:r>
      <w:r w:rsidR="00D55005" w:rsidRPr="00500F57">
        <w:t xml:space="preserve"> </w:t>
      </w:r>
      <w:r w:rsidRPr="00500F57">
        <w:t>Th</w:t>
      </w:r>
      <w:r w:rsidR="009B5D33">
        <w:t>o</w:t>
      </w:r>
      <w:r w:rsidRPr="00500F57">
        <w:t xml:space="preserve">se reports also </w:t>
      </w:r>
      <w:r w:rsidR="009B5D33">
        <w:t>usually</w:t>
      </w:r>
      <w:r w:rsidR="009B5D33" w:rsidRPr="00500F57">
        <w:t xml:space="preserve"> </w:t>
      </w:r>
      <w:r w:rsidRPr="00500F57">
        <w:t>include expenditure estimate</w:t>
      </w:r>
      <w:r w:rsidR="005E3B86">
        <w:t>s</w:t>
      </w:r>
      <w:r w:rsidRPr="00500F57">
        <w:t xml:space="preserve"> for day and overnight activities.</w:t>
      </w:r>
    </w:p>
    <w:p w:rsidR="006D6ED4" w:rsidRPr="00500F57" w:rsidRDefault="00BC36B8" w:rsidP="002F27A9">
      <w:r w:rsidRPr="00500F57">
        <w:t>We estimated</w:t>
      </w:r>
      <w:r w:rsidR="006D6ED4" w:rsidRPr="00500F57">
        <w:t xml:space="preserve"> snow</w:t>
      </w:r>
      <w:r w:rsidR="005E3B86">
        <w:t>-</w:t>
      </w:r>
      <w:r w:rsidR="006D6ED4" w:rsidRPr="00500F57">
        <w:t>based</w:t>
      </w:r>
      <w:r w:rsidRPr="00500F57">
        <w:t xml:space="preserve"> trip and equipment</w:t>
      </w:r>
      <w:r w:rsidR="006D6ED4" w:rsidRPr="00500F57">
        <w:t xml:space="preserve"> expenditure</w:t>
      </w:r>
      <w:r w:rsidRPr="00500F57">
        <w:t xml:space="preserve"> using</w:t>
      </w:r>
      <w:r w:rsidR="006D6ED4" w:rsidRPr="00500F57">
        <w:t xml:space="preserve"> </w:t>
      </w:r>
      <w:r w:rsidR="009B5D33">
        <w:t xml:space="preserve">the </w:t>
      </w:r>
      <w:r w:rsidR="006D6ED4" w:rsidRPr="00500F57">
        <w:t>Alpine Resorts Co-ordinating Council</w:t>
      </w:r>
      <w:r w:rsidR="005E3B86">
        <w:t>’s</w:t>
      </w:r>
      <w:r w:rsidR="006D6ED4" w:rsidRPr="00500F57">
        <w:t xml:space="preserve"> </w:t>
      </w:r>
      <w:r w:rsidR="006D6ED4" w:rsidRPr="00500F57">
        <w:rPr>
          <w:i/>
        </w:rPr>
        <w:t xml:space="preserve">Victorian </w:t>
      </w:r>
      <w:r w:rsidR="005E3B86" w:rsidRPr="00500F57">
        <w:rPr>
          <w:i/>
        </w:rPr>
        <w:t xml:space="preserve">alpine resorts: end of season </w:t>
      </w:r>
      <w:r w:rsidR="006D6ED4" w:rsidRPr="00500F57">
        <w:rPr>
          <w:i/>
        </w:rPr>
        <w:t>report</w:t>
      </w:r>
      <w:r w:rsidR="005E3B86">
        <w:rPr>
          <w:i/>
        </w:rPr>
        <w:t>,</w:t>
      </w:r>
      <w:r w:rsidR="006D6ED4" w:rsidRPr="00500F57">
        <w:rPr>
          <w:i/>
        </w:rPr>
        <w:t xml:space="preserve"> </w:t>
      </w:r>
      <w:r w:rsidR="0023082F" w:rsidRPr="00500F57">
        <w:rPr>
          <w:i/>
        </w:rPr>
        <w:t>winter</w:t>
      </w:r>
      <w:r w:rsidR="006D6ED4" w:rsidRPr="00500F57">
        <w:rPr>
          <w:i/>
        </w:rPr>
        <w:t xml:space="preserve"> 2014</w:t>
      </w:r>
      <w:r w:rsidR="005E3B86">
        <w:t xml:space="preserve"> (2015)</w:t>
      </w:r>
      <w:r w:rsidR="009B5D33">
        <w:t>, which</w:t>
      </w:r>
      <w:r w:rsidRPr="00500F57">
        <w:t xml:space="preserve"> i</w:t>
      </w:r>
      <w:r w:rsidR="006D6ED4" w:rsidRPr="00500F57">
        <w:t>s</w:t>
      </w:r>
      <w:r w:rsidRPr="00500F57">
        <w:t xml:space="preserve"> based on the analysis of value</w:t>
      </w:r>
      <w:r w:rsidR="005E3B86">
        <w:t xml:space="preserve"> </w:t>
      </w:r>
      <w:r w:rsidR="006D6ED4" w:rsidRPr="00500F57">
        <w:t>added from snow activities in the Victorian Alps.</w:t>
      </w:r>
      <w:r w:rsidR="00D55005" w:rsidRPr="00500F57">
        <w:t xml:space="preserve"> </w:t>
      </w:r>
      <w:r w:rsidRPr="00500F57">
        <w:t>We used the</w:t>
      </w:r>
      <w:r w:rsidR="006D6ED4" w:rsidRPr="00500F57">
        <w:t xml:space="preserve"> weighted input</w:t>
      </w:r>
      <w:r w:rsidR="005E3B86">
        <w:t>–</w:t>
      </w:r>
      <w:r w:rsidR="006D6ED4" w:rsidRPr="00500F57">
        <w:t xml:space="preserve">output multiplier for tourist spending in the region </w:t>
      </w:r>
      <w:r w:rsidR="00DE3BCE" w:rsidRPr="00500F57">
        <w:t xml:space="preserve">to </w:t>
      </w:r>
      <w:r w:rsidRPr="00500F57">
        <w:t>convert the value</w:t>
      </w:r>
      <w:r w:rsidR="005E3B86">
        <w:t xml:space="preserve"> </w:t>
      </w:r>
      <w:r w:rsidRPr="00500F57">
        <w:t>added estimates in the report</w:t>
      </w:r>
      <w:r w:rsidR="006D6ED4" w:rsidRPr="00500F57">
        <w:t xml:space="preserve"> back to an expenditure figure.</w:t>
      </w:r>
      <w:r w:rsidR="00D55005" w:rsidRPr="00500F57">
        <w:t xml:space="preserve"> </w:t>
      </w:r>
      <w:r w:rsidR="006D6ED4" w:rsidRPr="00500F57">
        <w:t>This replace</w:t>
      </w:r>
      <w:r w:rsidR="005E3B86">
        <w:t>d</w:t>
      </w:r>
      <w:r w:rsidR="006D6ED4" w:rsidRPr="00500F57">
        <w:t xml:space="preserve"> the derived figure for tourist expenditure assigned to snow activities.</w:t>
      </w:r>
      <w:r w:rsidR="00D55005" w:rsidRPr="00500F57">
        <w:t xml:space="preserve"> </w:t>
      </w:r>
      <w:r w:rsidR="006D6ED4" w:rsidRPr="00500F57">
        <w:t xml:space="preserve">As this figure is a derived figure, the other activities of the </w:t>
      </w:r>
      <w:r w:rsidR="005E3B86">
        <w:t>a</w:t>
      </w:r>
      <w:r w:rsidR="006D6ED4" w:rsidRPr="00500F57">
        <w:t xml:space="preserve">lpine total </w:t>
      </w:r>
      <w:r w:rsidR="005E3B86">
        <w:t>we</w:t>
      </w:r>
      <w:r w:rsidR="006D6ED4" w:rsidRPr="00500F57">
        <w:t xml:space="preserve">re adjusted so that </w:t>
      </w:r>
      <w:r w:rsidR="005E3B86">
        <w:t xml:space="preserve">the </w:t>
      </w:r>
      <w:r w:rsidR="006D6ED4" w:rsidRPr="00500F57">
        <w:t xml:space="preserve">overall spend by tourists </w:t>
      </w:r>
      <w:r w:rsidR="005E3B86">
        <w:t>wa</w:t>
      </w:r>
      <w:r w:rsidR="006D6ED4" w:rsidRPr="00500F57">
        <w:t xml:space="preserve">s not changed </w:t>
      </w:r>
      <w:r w:rsidR="005E3B86">
        <w:t>for</w:t>
      </w:r>
      <w:r w:rsidR="005E3B86" w:rsidRPr="00500F57">
        <w:t xml:space="preserve"> </w:t>
      </w:r>
      <w:r w:rsidR="006D6ED4" w:rsidRPr="00500F57">
        <w:t>the region.</w:t>
      </w:r>
    </w:p>
    <w:p w:rsidR="00D55005" w:rsidRPr="00500F57" w:rsidRDefault="00FF401B" w:rsidP="002F27A9">
      <w:r w:rsidRPr="00500F57">
        <w:t>For walking, cycling, running and swimming</w:t>
      </w:r>
      <w:r w:rsidR="005E3B86">
        <w:t>,</w:t>
      </w:r>
      <w:r w:rsidRPr="00500F57">
        <w:t xml:space="preserve"> we used visitor survey data obtained from Parks Victoria.</w:t>
      </w:r>
      <w:r w:rsidR="00D55005" w:rsidRPr="00500F57">
        <w:t xml:space="preserve"> </w:t>
      </w:r>
      <w:r w:rsidRPr="00500F57">
        <w:t xml:space="preserve">This data tracks visitor activities for all metropolitan and </w:t>
      </w:r>
      <w:r w:rsidR="005E3B86">
        <w:t>n</w:t>
      </w:r>
      <w:r w:rsidRPr="00500F57">
        <w:t>ational parks operated by Parks Victoria.</w:t>
      </w:r>
      <w:r w:rsidR="00D55005" w:rsidRPr="00500F57">
        <w:t xml:space="preserve"> </w:t>
      </w:r>
      <w:r w:rsidRPr="00500F57">
        <w:t xml:space="preserve">We used data from a second Parks Victoria survey that tracks the </w:t>
      </w:r>
      <w:r w:rsidR="00355401" w:rsidRPr="00500F57">
        <w:t>type</w:t>
      </w:r>
      <w:r w:rsidRPr="00500F57">
        <w:t xml:space="preserve"> of visit (local</w:t>
      </w:r>
      <w:r w:rsidR="005E3B86">
        <w:t>,</w:t>
      </w:r>
      <w:r w:rsidRPr="00500F57">
        <w:t xml:space="preserve"> day trip from home, part of a holiday)</w:t>
      </w:r>
      <w:r w:rsidR="005E3B86">
        <w:t xml:space="preserve"> by percentage</w:t>
      </w:r>
      <w:r w:rsidRPr="00500F57">
        <w:t xml:space="preserve"> </w:t>
      </w:r>
      <w:r w:rsidR="00355401" w:rsidRPr="00500F57">
        <w:t>for 2</w:t>
      </w:r>
      <w:r w:rsidR="00D55005" w:rsidRPr="00500F57">
        <w:t>8 V</w:t>
      </w:r>
      <w:r w:rsidR="00355401" w:rsidRPr="00500F57">
        <w:t xml:space="preserve">ictorian parks managed by Parks Victoria to </w:t>
      </w:r>
      <w:r w:rsidR="0023082F" w:rsidRPr="00500F57">
        <w:t>apportion</w:t>
      </w:r>
      <w:r w:rsidR="00355401" w:rsidRPr="00500F57">
        <w:t xml:space="preserve"> trip type</w:t>
      </w:r>
      <w:r w:rsidR="005E3B86">
        <w:t>s</w:t>
      </w:r>
      <w:r w:rsidR="00355401" w:rsidRPr="00500F57">
        <w:t xml:space="preserve"> and activities for urban, peri-urban and regional parks.</w:t>
      </w:r>
    </w:p>
    <w:p w:rsidR="00484C23" w:rsidRPr="00500F57" w:rsidRDefault="00484C23" w:rsidP="002F27A9">
      <w:pPr>
        <w:pStyle w:val="Heading3"/>
        <w:ind w:left="0"/>
      </w:pPr>
      <w:r w:rsidRPr="00500F57">
        <w:t>Equipment investment</w:t>
      </w:r>
      <w:r w:rsidR="00506679" w:rsidRPr="00500F57">
        <w:t xml:space="preserve"> and other consumer expenditure</w:t>
      </w:r>
    </w:p>
    <w:p w:rsidR="00D55005" w:rsidRPr="00500F57" w:rsidRDefault="00276C4A" w:rsidP="002F27A9">
      <w:r w:rsidRPr="00500F57">
        <w:t>T</w:t>
      </w:r>
      <w:r w:rsidR="006D6ED4" w:rsidRPr="00500F57">
        <w:t xml:space="preserve">he ABS provides estimates of household expenditure on specific equipment used in </w:t>
      </w:r>
      <w:r w:rsidR="00506679" w:rsidRPr="00500F57">
        <w:t xml:space="preserve">recreational </w:t>
      </w:r>
      <w:r w:rsidR="006D6ED4" w:rsidRPr="00500F57">
        <w:t>activities</w:t>
      </w:r>
      <w:r w:rsidR="00C60B88" w:rsidRPr="00500F57">
        <w:t xml:space="preserve"> in</w:t>
      </w:r>
      <w:r w:rsidR="009F5D1A">
        <w:t xml:space="preserve"> </w:t>
      </w:r>
      <w:r w:rsidR="00C60B88" w:rsidRPr="00500F57">
        <w:rPr>
          <w:i/>
        </w:rPr>
        <w:t xml:space="preserve">Value of </w:t>
      </w:r>
      <w:r w:rsidR="009F5D1A" w:rsidRPr="00500F57">
        <w:rPr>
          <w:i/>
        </w:rPr>
        <w:t>sport</w:t>
      </w:r>
      <w:r w:rsidR="00C60B88" w:rsidRPr="00500F57">
        <w:rPr>
          <w:i/>
        </w:rPr>
        <w:t>, Australia, 2013</w:t>
      </w:r>
      <w:r w:rsidR="009F5D1A">
        <w:t xml:space="preserve"> (cat. no. </w:t>
      </w:r>
      <w:r w:rsidR="009F5D1A" w:rsidRPr="00155EE3">
        <w:t>4156.0.55.002</w:t>
      </w:r>
      <w:r w:rsidR="009F5D1A">
        <w:t>)</w:t>
      </w:r>
      <w:r w:rsidR="00C60B88" w:rsidRPr="00500F57">
        <w:t>.</w:t>
      </w:r>
      <w:r w:rsidR="00D55005" w:rsidRPr="00500F57">
        <w:t xml:space="preserve"> </w:t>
      </w:r>
      <w:r w:rsidR="009F5D1A">
        <w:t>Goods</w:t>
      </w:r>
      <w:r w:rsidR="009F5D1A" w:rsidRPr="00500F57">
        <w:t xml:space="preserve"> </w:t>
      </w:r>
      <w:r w:rsidR="00C60B88" w:rsidRPr="00500F57">
        <w:t>in the catalogue include</w:t>
      </w:r>
      <w:r w:rsidR="006D6ED4" w:rsidRPr="00500F57">
        <w:t xml:space="preserve"> bicycles, boats, aircraft, fishing equipment, camping equipment</w:t>
      </w:r>
      <w:r w:rsidR="000E51E7" w:rsidRPr="00500F57">
        <w:t xml:space="preserve"> and other </w:t>
      </w:r>
      <w:r w:rsidR="009F5D1A">
        <w:t>types of equipment</w:t>
      </w:r>
      <w:r w:rsidR="006D6ED4" w:rsidRPr="00500F57">
        <w:t>.</w:t>
      </w:r>
      <w:r w:rsidR="00D55005" w:rsidRPr="00500F57">
        <w:t xml:space="preserve"> </w:t>
      </w:r>
      <w:r w:rsidR="006D6ED4" w:rsidRPr="00500F57">
        <w:t xml:space="preserve">Detailed expenditure data per household </w:t>
      </w:r>
      <w:r w:rsidR="009F5D1A">
        <w:t>is</w:t>
      </w:r>
      <w:r w:rsidR="009F5D1A" w:rsidRPr="00500F57">
        <w:t xml:space="preserve"> </w:t>
      </w:r>
      <w:r w:rsidR="006D6ED4" w:rsidRPr="00500F57">
        <w:t xml:space="preserve">available at </w:t>
      </w:r>
      <w:r w:rsidR="009F5D1A">
        <w:t>the</w:t>
      </w:r>
      <w:r w:rsidR="009F5D1A" w:rsidRPr="00500F57">
        <w:t xml:space="preserve"> </w:t>
      </w:r>
      <w:r w:rsidR="006D6ED4" w:rsidRPr="00500F57">
        <w:t>Australian level for 200</w:t>
      </w:r>
      <w:r w:rsidR="00D55005" w:rsidRPr="00500F57">
        <w:t>9–1</w:t>
      </w:r>
      <w:r w:rsidR="006D6ED4" w:rsidRPr="00500F57">
        <w:t>0.</w:t>
      </w:r>
      <w:r w:rsidR="00D55005" w:rsidRPr="00500F57">
        <w:t xml:space="preserve"> </w:t>
      </w:r>
      <w:r w:rsidR="006D6ED4" w:rsidRPr="00500F57">
        <w:t xml:space="preserve">Detailed expenditure data per household </w:t>
      </w:r>
      <w:r w:rsidR="009F5D1A">
        <w:t>in</w:t>
      </w:r>
      <w:r w:rsidR="009F5D1A" w:rsidRPr="00500F57">
        <w:t xml:space="preserve"> </w:t>
      </w:r>
      <w:r w:rsidR="006D6ED4" w:rsidRPr="00500F57">
        <w:t xml:space="preserve">Victoria </w:t>
      </w:r>
      <w:r w:rsidR="009F5D1A">
        <w:t>is</w:t>
      </w:r>
      <w:r w:rsidR="009F5D1A" w:rsidRPr="00500F57">
        <w:t xml:space="preserve"> </w:t>
      </w:r>
      <w:r w:rsidR="006D6ED4" w:rsidRPr="00500F57">
        <w:t>available for 200</w:t>
      </w:r>
      <w:r w:rsidR="00D55005" w:rsidRPr="00500F57">
        <w:t>3–0</w:t>
      </w:r>
      <w:r w:rsidR="006D6ED4" w:rsidRPr="00500F57">
        <w:t>4.</w:t>
      </w:r>
    </w:p>
    <w:p w:rsidR="006D6ED4" w:rsidRPr="00500F57" w:rsidRDefault="006D6ED4" w:rsidP="002F27A9">
      <w:r w:rsidRPr="00500F57">
        <w:t>The ratio of Victorian</w:t>
      </w:r>
      <w:r w:rsidR="009F5D1A">
        <w:t xml:space="preserve"> to Australian</w:t>
      </w:r>
      <w:r w:rsidRPr="00500F57">
        <w:t xml:space="preserve"> expenditure per household in 200</w:t>
      </w:r>
      <w:r w:rsidR="00D55005" w:rsidRPr="00500F57">
        <w:t>3–0</w:t>
      </w:r>
      <w:r w:rsidRPr="00500F57">
        <w:t xml:space="preserve">4 </w:t>
      </w:r>
      <w:r w:rsidR="009F5D1A">
        <w:t>was</w:t>
      </w:r>
      <w:r w:rsidRPr="00500F57">
        <w:t xml:space="preserve"> used to adjust the Australian figure for 200</w:t>
      </w:r>
      <w:r w:rsidR="00D55005" w:rsidRPr="00500F57">
        <w:t>9–1</w:t>
      </w:r>
      <w:r w:rsidRPr="00500F57">
        <w:t>0.</w:t>
      </w:r>
      <w:r w:rsidR="00D55005" w:rsidRPr="00500F57">
        <w:t xml:space="preserve"> </w:t>
      </w:r>
      <w:r w:rsidRPr="00500F57">
        <w:t xml:space="preserve">This </w:t>
      </w:r>
      <w:r w:rsidR="009F5D1A">
        <w:t>wa</w:t>
      </w:r>
      <w:r w:rsidRPr="00500F57">
        <w:t>s then grossed up for the number</w:t>
      </w:r>
      <w:r w:rsidR="00506679" w:rsidRPr="00500F57">
        <w:t xml:space="preserve"> of Victorian households in 201</w:t>
      </w:r>
      <w:r w:rsidR="00D55005" w:rsidRPr="00500F57">
        <w:t>5–1</w:t>
      </w:r>
      <w:r w:rsidR="00506679" w:rsidRPr="00500F57">
        <w:t>6</w:t>
      </w:r>
      <w:r w:rsidRPr="00500F57">
        <w:t xml:space="preserve"> and inflation.</w:t>
      </w:r>
    </w:p>
    <w:p w:rsidR="006D6ED4" w:rsidRPr="00500F57" w:rsidRDefault="00C60B88" w:rsidP="002F27A9">
      <w:r w:rsidRPr="00500F57">
        <w:t xml:space="preserve">For </w:t>
      </w:r>
      <w:r w:rsidR="00622B87" w:rsidRPr="00500F57">
        <w:t>active recreation</w:t>
      </w:r>
      <w:r w:rsidR="006D6ED4" w:rsidRPr="00500F57">
        <w:t xml:space="preserve"> clothing, Australian expenditure on hiking and </w:t>
      </w:r>
      <w:r w:rsidR="00622B87" w:rsidRPr="00500F57">
        <w:t xml:space="preserve">recreation </w:t>
      </w:r>
      <w:r w:rsidR="006D6ED4" w:rsidRPr="00500F57">
        <w:t xml:space="preserve">equipment was derived from IBISWorld’s analysis of </w:t>
      </w:r>
      <w:r w:rsidR="009F5D1A">
        <w:t>that market</w:t>
      </w:r>
      <w:r w:rsidRPr="00500F57">
        <w:t>.</w:t>
      </w:r>
      <w:r w:rsidR="00D55005" w:rsidRPr="00500F57">
        <w:t xml:space="preserve"> </w:t>
      </w:r>
      <w:r w:rsidRPr="00500F57">
        <w:t>Th</w:t>
      </w:r>
      <w:r w:rsidR="009F5D1A">
        <w:t>at</w:t>
      </w:r>
      <w:r w:rsidRPr="00500F57">
        <w:t xml:space="preserve"> analysis identified 42</w:t>
      </w:r>
      <w:r w:rsidR="002D30BA">
        <w:t xml:space="preserve"> per cent</w:t>
      </w:r>
      <w:r w:rsidR="006D6ED4" w:rsidRPr="00500F57">
        <w:t xml:space="preserve"> </w:t>
      </w:r>
      <w:r w:rsidRPr="00500F57">
        <w:t xml:space="preserve">of total expenditure on equipment </w:t>
      </w:r>
      <w:r w:rsidR="006D6ED4" w:rsidRPr="00500F57">
        <w:t xml:space="preserve">as being on clothing and footwear (and therefore not double counting </w:t>
      </w:r>
      <w:r w:rsidR="009F5D1A">
        <w:t xml:space="preserve">for </w:t>
      </w:r>
      <w:r w:rsidR="006D6ED4" w:rsidRPr="00500F57">
        <w:t xml:space="preserve">camping, fishing </w:t>
      </w:r>
      <w:r w:rsidR="009F5D1A">
        <w:t>and so on</w:t>
      </w:r>
      <w:r w:rsidR="006D6ED4" w:rsidRPr="00500F57">
        <w:t>).</w:t>
      </w:r>
      <w:r w:rsidR="00D55005" w:rsidRPr="00500F57">
        <w:t xml:space="preserve"> </w:t>
      </w:r>
      <w:r w:rsidR="006D6ED4" w:rsidRPr="00500F57">
        <w:t>Overall, Victoria represented some 2</w:t>
      </w:r>
      <w:r w:rsidRPr="00500F57">
        <w:t>7</w:t>
      </w:r>
      <w:r w:rsidR="002D30BA">
        <w:t xml:space="preserve"> per cent</w:t>
      </w:r>
      <w:r w:rsidR="006D6ED4" w:rsidRPr="00500F57">
        <w:t xml:space="preserve"> of sales </w:t>
      </w:r>
      <w:r w:rsidR="009F5D1A">
        <w:t>of</w:t>
      </w:r>
      <w:r w:rsidR="009F5D1A" w:rsidRPr="00500F57">
        <w:t xml:space="preserve"> </w:t>
      </w:r>
      <w:r w:rsidR="006D6ED4" w:rsidRPr="00500F57">
        <w:t>equipment.</w:t>
      </w:r>
      <w:r w:rsidR="00D55005" w:rsidRPr="00500F57">
        <w:t xml:space="preserve"> </w:t>
      </w:r>
      <w:r w:rsidR="006D6ED4" w:rsidRPr="00500F57">
        <w:t>These two r</w:t>
      </w:r>
      <w:r w:rsidRPr="00500F57">
        <w:t xml:space="preserve">atios were applied to generate an estimate of </w:t>
      </w:r>
      <w:r w:rsidR="00622B87" w:rsidRPr="00500F57">
        <w:t>active recreation</w:t>
      </w:r>
      <w:r w:rsidR="006D6ED4" w:rsidRPr="00500F57">
        <w:t xml:space="preserve"> clothing and footwear expenditure for Victoria.</w:t>
      </w:r>
    </w:p>
    <w:p w:rsidR="00506679" w:rsidRPr="00500F57" w:rsidRDefault="00506679" w:rsidP="002F27A9">
      <w:r w:rsidRPr="00500F57">
        <w:t xml:space="preserve">Other household expenditure was extracted from the Household Expenditure </w:t>
      </w:r>
      <w:r w:rsidR="009F5D1A">
        <w:t>S</w:t>
      </w:r>
      <w:r w:rsidRPr="00500F57">
        <w:t>urvey.</w:t>
      </w:r>
      <w:r w:rsidR="00D55005" w:rsidRPr="00500F57">
        <w:t xml:space="preserve"> </w:t>
      </w:r>
      <w:r w:rsidRPr="00500F57">
        <w:t>Th</w:t>
      </w:r>
      <w:r w:rsidR="009F5D1A">
        <w:t>is</w:t>
      </w:r>
      <w:r w:rsidRPr="00500F57">
        <w:t xml:space="preserve"> included only </w:t>
      </w:r>
      <w:r w:rsidR="005404CC" w:rsidRPr="00500F57">
        <w:t>those</w:t>
      </w:r>
      <w:r w:rsidRPr="00500F57">
        <w:t xml:space="preserve"> </w:t>
      </w:r>
      <w:r w:rsidR="005404CC" w:rsidRPr="00500F57">
        <w:t>items</w:t>
      </w:r>
      <w:r w:rsidRPr="00500F57">
        <w:t xml:space="preserve"> not covered by the above groups and included gym and similar memberships, hire costs for casual sport (green fees, bowling hire), sporting attire and sports equipment.</w:t>
      </w:r>
      <w:r w:rsidR="00D55005" w:rsidRPr="00500F57">
        <w:t xml:space="preserve"> </w:t>
      </w:r>
      <w:r w:rsidRPr="00500F57">
        <w:t xml:space="preserve">These were scaled in proportion to the number of hours of </w:t>
      </w:r>
      <w:r w:rsidR="00F74994" w:rsidRPr="00500F57">
        <w:t>active recreation to total recreation activity and t</w:t>
      </w:r>
      <w:r w:rsidR="005404CC" w:rsidRPr="00500F57">
        <w:t>hen scaled down to reflect</w:t>
      </w:r>
      <w:r w:rsidR="00F74994" w:rsidRPr="00500F57">
        <w:t xml:space="preserve"> purchases in proportion to the number of people who ha</w:t>
      </w:r>
      <w:r w:rsidR="009F5D1A">
        <w:t>d</w:t>
      </w:r>
      <w:r w:rsidR="00F74994" w:rsidRPr="00500F57">
        <w:t xml:space="preserve"> not participated in any physical recreation.</w:t>
      </w:r>
    </w:p>
    <w:p w:rsidR="00F46697" w:rsidRPr="00500F57" w:rsidRDefault="009F5D1A" w:rsidP="002F27A9">
      <w:pPr>
        <w:pStyle w:val="Heading3"/>
        <w:ind w:left="0"/>
      </w:pPr>
      <w:r>
        <w:lastRenderedPageBreak/>
        <w:t>I</w:t>
      </w:r>
      <w:r w:rsidR="00C60B88" w:rsidRPr="00500F57">
        <w:t xml:space="preserve">nfrastructure </w:t>
      </w:r>
      <w:r w:rsidR="00F46697" w:rsidRPr="00500F57">
        <w:t>investment</w:t>
      </w:r>
    </w:p>
    <w:p w:rsidR="00D55005" w:rsidRPr="00500F57" w:rsidRDefault="00F46697" w:rsidP="002F27A9">
      <w:r w:rsidRPr="00500F57">
        <w:t>T</w:t>
      </w:r>
      <w:r w:rsidR="006D6ED4" w:rsidRPr="00500F57">
        <w:t xml:space="preserve">here is limited information on private investment in </w:t>
      </w:r>
      <w:r w:rsidR="00DE3BCE" w:rsidRPr="00500F57">
        <w:t xml:space="preserve">active </w:t>
      </w:r>
      <w:r w:rsidR="006D6ED4" w:rsidRPr="00500F57">
        <w:t>recreational facilities</w:t>
      </w:r>
      <w:r w:rsidR="00EE3860" w:rsidRPr="00500F57">
        <w:t xml:space="preserve"> and infrastructure</w:t>
      </w:r>
      <w:r w:rsidR="006D6ED4" w:rsidRPr="00500F57">
        <w:t xml:space="preserve">. </w:t>
      </w:r>
      <w:r w:rsidR="00EE3860" w:rsidRPr="00500F57">
        <w:t xml:space="preserve">We used primary data where </w:t>
      </w:r>
      <w:r w:rsidR="009F5D1A">
        <w:t>it</w:t>
      </w:r>
      <w:r w:rsidR="009F5D1A" w:rsidRPr="00500F57">
        <w:t xml:space="preserve"> </w:t>
      </w:r>
      <w:r w:rsidR="00EE3860" w:rsidRPr="00500F57">
        <w:t>is available.</w:t>
      </w:r>
    </w:p>
    <w:p w:rsidR="00D55005" w:rsidRPr="00500F57" w:rsidRDefault="006D6ED4" w:rsidP="002F27A9">
      <w:r w:rsidRPr="00500F57">
        <w:t xml:space="preserve">Alpine investment in Victoria was reported for 2005 in </w:t>
      </w:r>
      <w:r w:rsidRPr="00500F57">
        <w:rPr>
          <w:i/>
        </w:rPr>
        <w:t xml:space="preserve">The </w:t>
      </w:r>
      <w:r w:rsidR="009F5D1A" w:rsidRPr="00500F57">
        <w:rPr>
          <w:i/>
        </w:rPr>
        <w:t xml:space="preserve">economic significance of the </w:t>
      </w:r>
      <w:r w:rsidRPr="00500F57">
        <w:rPr>
          <w:i/>
        </w:rPr>
        <w:t xml:space="preserve">Australian </w:t>
      </w:r>
      <w:r w:rsidR="009F5D1A" w:rsidRPr="00500F57">
        <w:rPr>
          <w:i/>
        </w:rPr>
        <w:t>alpine resorts: summary report</w:t>
      </w:r>
      <w:r w:rsidR="009F5D1A">
        <w:t>, which was</w:t>
      </w:r>
      <w:r w:rsidR="009F5D1A" w:rsidRPr="00500F57">
        <w:t xml:space="preserve"> </w:t>
      </w:r>
      <w:r w:rsidRPr="00500F57">
        <w:t xml:space="preserve">prepared for </w:t>
      </w:r>
      <w:r w:rsidR="009F5D1A">
        <w:t xml:space="preserve">the </w:t>
      </w:r>
      <w:r w:rsidRPr="00500F57">
        <w:t>Alpine Resorts Co-ordinating Council.</w:t>
      </w:r>
      <w:r w:rsidR="00D55005" w:rsidRPr="00500F57">
        <w:t xml:space="preserve"> </w:t>
      </w:r>
      <w:r w:rsidRPr="00500F57">
        <w:t xml:space="preserve">This </w:t>
      </w:r>
      <w:r w:rsidR="00EE3860" w:rsidRPr="00500F57">
        <w:t>was inflated to 201</w:t>
      </w:r>
      <w:r w:rsidR="00D55005" w:rsidRPr="00500F57">
        <w:t>4–1</w:t>
      </w:r>
      <w:r w:rsidR="00EE3860" w:rsidRPr="00500F57">
        <w:t>5 prices.</w:t>
      </w:r>
    </w:p>
    <w:p w:rsidR="00D55005" w:rsidRPr="00500F57" w:rsidRDefault="006D6ED4" w:rsidP="002F27A9">
      <w:r w:rsidRPr="00500F57">
        <w:t>Public sector expenditure comprised two elements: consumption and investment expenditure.</w:t>
      </w:r>
      <w:r w:rsidR="00D55005" w:rsidRPr="00500F57">
        <w:t xml:space="preserve"> </w:t>
      </w:r>
      <w:r w:rsidRPr="00500F57">
        <w:t>The former comprised the ongoing costs for Parks Victoria (</w:t>
      </w:r>
      <w:r w:rsidR="009F5D1A">
        <w:t xml:space="preserve">from </w:t>
      </w:r>
      <w:r w:rsidRPr="00500F57">
        <w:t>annual report</w:t>
      </w:r>
      <w:r w:rsidR="009F5D1A">
        <w:t>s</w:t>
      </w:r>
      <w:r w:rsidRPr="00500F57">
        <w:t>)</w:t>
      </w:r>
      <w:r w:rsidR="009F5D1A">
        <w:t>,</w:t>
      </w:r>
      <w:r w:rsidRPr="00500F57">
        <w:t xml:space="preserve"> which were allocated on the basis of </w:t>
      </w:r>
      <w:r w:rsidR="009B5D33">
        <w:t xml:space="preserve">the </w:t>
      </w:r>
      <w:r w:rsidRPr="00500F57">
        <w:t>number of visitors to national parks, state parks or waterways as a proportion of all visitors.</w:t>
      </w:r>
    </w:p>
    <w:p w:rsidR="006D6ED4" w:rsidRPr="00500F57" w:rsidRDefault="006D6ED4" w:rsidP="002F27A9">
      <w:pPr>
        <w:pStyle w:val="Heading3"/>
        <w:ind w:left="0"/>
      </w:pPr>
      <w:r w:rsidRPr="00500F57">
        <w:t>Health</w:t>
      </w:r>
      <w:r w:rsidR="00341D7B" w:rsidRPr="00500F57">
        <w:t xml:space="preserve"> and production </w:t>
      </w:r>
      <w:r w:rsidRPr="00500F57">
        <w:t>benefits</w:t>
      </w:r>
    </w:p>
    <w:p w:rsidR="006078F9" w:rsidRPr="00500F57" w:rsidRDefault="006078F9" w:rsidP="002F27A9">
      <w:r w:rsidRPr="00500F57">
        <w:t>For this project</w:t>
      </w:r>
      <w:r w:rsidR="009F5D1A">
        <w:t>,</w:t>
      </w:r>
      <w:r w:rsidRPr="00500F57">
        <w:t xml:space="preserve"> we worked with Deakin Health Economics to </w:t>
      </w:r>
      <w:r w:rsidR="009F5D1A">
        <w:t xml:space="preserve">evaluate </w:t>
      </w:r>
      <w:r w:rsidRPr="00500F57">
        <w:t>the health status</w:t>
      </w:r>
      <w:r w:rsidR="009F5D1A">
        <w:t xml:space="preserve"> and</w:t>
      </w:r>
      <w:r w:rsidRPr="00500F57">
        <w:t xml:space="preserve"> economic and financial burden associated with physical inactivity in the 2016 Victorian adult population.</w:t>
      </w:r>
      <w:r w:rsidR="00D55005" w:rsidRPr="00500F57">
        <w:t xml:space="preserve"> </w:t>
      </w:r>
      <w:r w:rsidRPr="00500F57">
        <w:t>This work extend</w:t>
      </w:r>
      <w:r w:rsidR="009F5D1A">
        <w:t>ed</w:t>
      </w:r>
      <w:r w:rsidRPr="00500F57">
        <w:t xml:space="preserve"> and update</w:t>
      </w:r>
      <w:r w:rsidR="009F5D1A">
        <w:t>d</w:t>
      </w:r>
      <w:r w:rsidRPr="00500F57">
        <w:t xml:space="preserve"> earlier work </w:t>
      </w:r>
      <w:r w:rsidR="009F5D1A">
        <w:t xml:space="preserve">that </w:t>
      </w:r>
      <w:r w:rsidRPr="00500F57">
        <w:t>Deakin Health</w:t>
      </w:r>
      <w:r w:rsidR="009F5D1A">
        <w:t xml:space="preserve"> Economics</w:t>
      </w:r>
      <w:r w:rsidRPr="00500F57">
        <w:t xml:space="preserve"> and </w:t>
      </w:r>
      <w:r w:rsidR="009F5D1A">
        <w:t>its</w:t>
      </w:r>
      <w:r w:rsidR="009F5D1A" w:rsidRPr="00500F57">
        <w:t xml:space="preserve"> </w:t>
      </w:r>
      <w:r w:rsidRPr="00500F57">
        <w:t>colleagues completed in 2009 to evaluate the health and economic benefits of reducing a range of controllable disease risk factors in the Victorian adult population</w:t>
      </w:r>
      <w:r w:rsidR="00B34C17">
        <w:t xml:space="preserve"> (</w:t>
      </w:r>
      <w:proofErr w:type="spellStart"/>
      <w:r w:rsidR="00B34C17">
        <w:t>Cadilhac</w:t>
      </w:r>
      <w:proofErr w:type="spellEnd"/>
      <w:r w:rsidR="00B34C17">
        <w:t xml:space="preserve"> et al., 2009)</w:t>
      </w:r>
      <w:r w:rsidRPr="00500F57">
        <w:t>.</w:t>
      </w:r>
    </w:p>
    <w:p w:rsidR="00D55005" w:rsidRPr="00500F57" w:rsidRDefault="006078F9" w:rsidP="002F27A9">
      <w:r w:rsidRPr="00500F57">
        <w:t>The evaluation of healthcare cost savings use</w:t>
      </w:r>
      <w:r w:rsidR="009F5D1A">
        <w:t>d</w:t>
      </w:r>
      <w:r w:rsidRPr="00500F57">
        <w:t xml:space="preserve"> the </w:t>
      </w:r>
      <w:r w:rsidR="009F5D1A" w:rsidRPr="00500F57">
        <w:t xml:space="preserve">risk factor impact </w:t>
      </w:r>
      <w:r w:rsidRPr="00500F57">
        <w:t xml:space="preserve">(RFI) </w:t>
      </w:r>
      <w:r w:rsidR="009F5D1A">
        <w:t xml:space="preserve">model </w:t>
      </w:r>
      <w:r w:rsidRPr="00500F57">
        <w:t>previously developed by Deakin Health Economics</w:t>
      </w:r>
      <w:r w:rsidR="00B34C17">
        <w:t xml:space="preserve"> (</w:t>
      </w:r>
      <w:proofErr w:type="spellStart"/>
      <w:r w:rsidR="00B34C17">
        <w:t>Cadilhac</w:t>
      </w:r>
      <w:proofErr w:type="spellEnd"/>
      <w:r w:rsidR="00B34C17">
        <w:t xml:space="preserve"> et al., 20</w:t>
      </w:r>
      <w:r w:rsidR="000B2DE4">
        <w:t>11</w:t>
      </w:r>
      <w:r w:rsidR="00B34C17">
        <w:t>)</w:t>
      </w:r>
      <w:r w:rsidRPr="00500F57">
        <w:t>.</w:t>
      </w:r>
      <w:r w:rsidR="00D55005" w:rsidRPr="00500F57">
        <w:t xml:space="preserve"> </w:t>
      </w:r>
      <w:r w:rsidRPr="00500F57">
        <w:t>Th</w:t>
      </w:r>
      <w:r w:rsidR="009F5D1A">
        <w:t>e</w:t>
      </w:r>
      <w:r w:rsidRPr="00500F57">
        <w:t xml:space="preserve"> model was adapted, improved and updated with current data inputs.</w:t>
      </w:r>
    </w:p>
    <w:p w:rsidR="005D51AF" w:rsidRPr="00500F57" w:rsidRDefault="005D51AF" w:rsidP="002F27A9">
      <w:r w:rsidRPr="00500F57">
        <w:t>The objective was to estimate the health status</w:t>
      </w:r>
      <w:r w:rsidR="009F5D1A">
        <w:t xml:space="preserve"> and</w:t>
      </w:r>
      <w:r w:rsidRPr="00500F57">
        <w:t xml:space="preserve"> economic and financial burden attributable to</w:t>
      </w:r>
      <w:r w:rsidR="009F5D1A">
        <w:t xml:space="preserve"> physical inactivity</w:t>
      </w:r>
      <w:r w:rsidRPr="00500F57">
        <w:t xml:space="preserve"> and the potential benefits that c</w:t>
      </w:r>
      <w:r w:rsidR="009B5D33">
        <w:t>ould</w:t>
      </w:r>
      <w:r w:rsidRPr="00500F57">
        <w:t xml:space="preserve"> be realised if physical inactivity </w:t>
      </w:r>
      <w:r w:rsidR="00B62ACD">
        <w:t>were</w:t>
      </w:r>
      <w:r w:rsidR="00B62ACD" w:rsidRPr="00500F57">
        <w:t xml:space="preserve"> </w:t>
      </w:r>
      <w:r w:rsidR="009B5D33">
        <w:t xml:space="preserve">to be </w:t>
      </w:r>
      <w:r w:rsidRPr="00500F57">
        <w:t xml:space="preserve">eliminated </w:t>
      </w:r>
      <w:r w:rsidR="009B5D33" w:rsidRPr="00500F57">
        <w:t xml:space="preserve">as a risk factor </w:t>
      </w:r>
      <w:r w:rsidRPr="00500F57">
        <w:t xml:space="preserve">in the 2016 Victorian adult population. </w:t>
      </w:r>
      <w:r w:rsidR="003D58E4" w:rsidRPr="00500F57">
        <w:t xml:space="preserve">Physical inactivity is defined as a lack of physical activity, based on </w:t>
      </w:r>
      <w:r w:rsidR="003D58E4" w:rsidRPr="000F0AFD">
        <w:rPr>
          <w:i/>
        </w:rPr>
        <w:t xml:space="preserve">Australia’s </w:t>
      </w:r>
      <w:r w:rsidR="00B62ACD" w:rsidRPr="000F0AFD">
        <w:rPr>
          <w:i/>
        </w:rPr>
        <w:t>physical activity and sedentary behaviour guidelines</w:t>
      </w:r>
      <w:r w:rsidR="003D58E4" w:rsidRPr="00500F57">
        <w:t xml:space="preserve"> (</w:t>
      </w:r>
      <w:r w:rsidR="00B34C17">
        <w:t>Appendix</w:t>
      </w:r>
      <w:r w:rsidR="003D58E4" w:rsidRPr="00500F57">
        <w:t xml:space="preserve"> B).</w:t>
      </w:r>
    </w:p>
    <w:p w:rsidR="00D55005" w:rsidRPr="00500F57" w:rsidRDefault="005D51AF" w:rsidP="002F27A9">
      <w:r w:rsidRPr="00500F57">
        <w:t xml:space="preserve">The health status benefits </w:t>
      </w:r>
      <w:r w:rsidR="00B62ACD">
        <w:t>were</w:t>
      </w:r>
      <w:r w:rsidR="00B62ACD" w:rsidRPr="00500F57">
        <w:t xml:space="preserve"> </w:t>
      </w:r>
      <w:r w:rsidRPr="00500F57">
        <w:t>measured as changes in the future incidence of disease, deaths and DALYs that could be attributable to physical inactivity.</w:t>
      </w:r>
    </w:p>
    <w:p w:rsidR="00D55005" w:rsidRPr="00500F57" w:rsidRDefault="005D51AF" w:rsidP="002F27A9">
      <w:r w:rsidRPr="00500F57">
        <w:t xml:space="preserve">The economic benefits </w:t>
      </w:r>
      <w:r w:rsidR="00B62ACD">
        <w:t>were</w:t>
      </w:r>
      <w:r w:rsidR="00B62ACD" w:rsidRPr="00500F57">
        <w:t xml:space="preserve"> </w:t>
      </w:r>
      <w:r w:rsidRPr="00500F57">
        <w:t xml:space="preserve">measured as future changes in paid workforce participation rates, prevented absenteeism and early retirements from the workforce, </w:t>
      </w:r>
      <w:r w:rsidR="00B62ACD">
        <w:t>and</w:t>
      </w:r>
      <w:r w:rsidRPr="00500F57">
        <w:t xml:space="preserve"> increased days of household and leisure activities that could be associated with improvements in health status.</w:t>
      </w:r>
    </w:p>
    <w:p w:rsidR="005D51AF" w:rsidRPr="00500F57" w:rsidRDefault="005D51AF" w:rsidP="002F27A9">
      <w:r w:rsidRPr="00500F57">
        <w:t xml:space="preserve">The financial benefits </w:t>
      </w:r>
      <w:r w:rsidR="00B62ACD">
        <w:t>we</w:t>
      </w:r>
      <w:r w:rsidRPr="00500F57">
        <w:t xml:space="preserve">re defined as the dollar value (net present value) of the estimated economic benefits listed above, together with the future expenditure savings to the health sector arising from </w:t>
      </w:r>
      <w:r w:rsidR="00B62ACD">
        <w:t xml:space="preserve">the </w:t>
      </w:r>
      <w:r w:rsidRPr="00500F57">
        <w:t>reduced incidence of diseases. These benefits represent opportunity cost savings rather than immediately realisable cash savings. The opportunity cost savings were estimated in 2016 Australian dollars and reflect the potential cost savings for the 2016 Victorian adult population over the rest of their lives; they do not include cost savings to other future population cohorts.</w:t>
      </w:r>
    </w:p>
    <w:p w:rsidR="00A200B7" w:rsidRDefault="005D51AF" w:rsidP="002F27A9">
      <w:r w:rsidRPr="00500F57">
        <w:lastRenderedPageBreak/>
        <w:t>A separate report</w:t>
      </w:r>
      <w:r w:rsidR="001B2832" w:rsidRPr="00500F57">
        <w:t xml:space="preserve"> detailing </w:t>
      </w:r>
      <w:r w:rsidR="00B62ACD">
        <w:t xml:space="preserve">the </w:t>
      </w:r>
      <w:r w:rsidR="001B2832" w:rsidRPr="00500F57">
        <w:t xml:space="preserve">methods and results of the Deakin </w:t>
      </w:r>
      <w:r w:rsidR="00B62ACD">
        <w:t xml:space="preserve">Health </w:t>
      </w:r>
      <w:r w:rsidR="001B2832" w:rsidRPr="00500F57">
        <w:t>Economic</w:t>
      </w:r>
      <w:r w:rsidR="00B62ACD">
        <w:t>s</w:t>
      </w:r>
      <w:r w:rsidR="001B2832" w:rsidRPr="00500F57">
        <w:t xml:space="preserve"> analysis has been provided to </w:t>
      </w:r>
      <w:r w:rsidR="00B62ACD">
        <w:t>DHHS</w:t>
      </w:r>
      <w:r w:rsidR="001B2832" w:rsidRPr="00500F57">
        <w:t>.</w:t>
      </w:r>
    </w:p>
    <w:p w:rsidR="00D55005" w:rsidRPr="00500F57" w:rsidRDefault="006671BC" w:rsidP="002F27A9">
      <w:pPr>
        <w:pStyle w:val="Heading3"/>
        <w:ind w:left="0"/>
      </w:pPr>
      <w:r w:rsidRPr="00500F57">
        <w:t>Recreation benefits</w:t>
      </w:r>
    </w:p>
    <w:p w:rsidR="00D55005" w:rsidRPr="00500F57" w:rsidRDefault="006671BC" w:rsidP="002F27A9">
      <w:r w:rsidRPr="00500F57">
        <w:t>Whereas the health benefit reflects the intensity and duration of the ex</w:t>
      </w:r>
      <w:r w:rsidR="001067FD" w:rsidRPr="00500F57">
        <w:t xml:space="preserve">ercise </w:t>
      </w:r>
      <w:r w:rsidR="0023082F" w:rsidRPr="00500F57">
        <w:t>component</w:t>
      </w:r>
      <w:r w:rsidR="001067FD" w:rsidRPr="00500F57">
        <w:t xml:space="preserve"> of an activity</w:t>
      </w:r>
      <w:r w:rsidR="001B2832" w:rsidRPr="00500F57">
        <w:t>,</w:t>
      </w:r>
      <w:r w:rsidR="001067FD" w:rsidRPr="00500F57">
        <w:t xml:space="preserve"> </w:t>
      </w:r>
      <w:r w:rsidRPr="00500F57">
        <w:t>the recreation benefit reflects the overall time spent on the activity.</w:t>
      </w:r>
      <w:r w:rsidR="00D55005" w:rsidRPr="00500F57">
        <w:t xml:space="preserve"> </w:t>
      </w:r>
      <w:r w:rsidRPr="00500F57">
        <w:t>For the purposes of this analysis, a conservative estimate was used to reflect th</w:t>
      </w:r>
      <w:r w:rsidR="00B62ACD">
        <w:t>e</w:t>
      </w:r>
      <w:r w:rsidRPr="00500F57">
        <w:t xml:space="preserve"> recreation</w:t>
      </w:r>
      <w:r w:rsidR="001B2832" w:rsidRPr="00500F57">
        <w:t xml:space="preserve"> benefit</w:t>
      </w:r>
      <w:r w:rsidRPr="00500F57">
        <w:t>.</w:t>
      </w:r>
    </w:p>
    <w:p w:rsidR="006671BC" w:rsidRPr="00500F57" w:rsidRDefault="006671BC" w:rsidP="002F27A9">
      <w:r w:rsidRPr="00500F57">
        <w:t>A recreation value of $50 per day equivalent was used</w:t>
      </w:r>
      <w:r w:rsidR="00B62ACD">
        <w:t>,</w:t>
      </w:r>
      <w:r w:rsidRPr="00500F57">
        <w:t xml:space="preserve"> reflecting the consistent </w:t>
      </w:r>
      <w:r w:rsidR="0023082F" w:rsidRPr="00500F57">
        <w:t>outcome</w:t>
      </w:r>
      <w:r w:rsidRPr="00500F57">
        <w:t xml:space="preserve"> </w:t>
      </w:r>
      <w:r w:rsidR="0023082F" w:rsidRPr="00500F57">
        <w:t>of</w:t>
      </w:r>
      <w:r w:rsidRPr="00500F57">
        <w:t xml:space="preserve"> a range of analyses.</w:t>
      </w:r>
    </w:p>
    <w:p w:rsidR="00484C23" w:rsidRPr="00500F57" w:rsidRDefault="00484C23" w:rsidP="002F27A9">
      <w:pPr>
        <w:pStyle w:val="Heading2"/>
      </w:pPr>
      <w:bookmarkStart w:id="94" w:name="_Ref432976556"/>
      <w:r w:rsidRPr="00500F57">
        <w:t>Economic contribution calculations</w:t>
      </w:r>
    </w:p>
    <w:p w:rsidR="00484C23" w:rsidRPr="00500F57" w:rsidRDefault="00014BED" w:rsidP="002F27A9">
      <w:r w:rsidRPr="00500F57">
        <w:t xml:space="preserve">We used Regional Development Victoria’s regional economic impact model to estimate the regional economic contribution of </w:t>
      </w:r>
      <w:r w:rsidR="00FF547F" w:rsidRPr="00500F57">
        <w:t xml:space="preserve">active recreation </w:t>
      </w:r>
      <w:r w:rsidRPr="00500F57">
        <w:t xml:space="preserve">in Victoria. </w:t>
      </w:r>
      <w:r w:rsidR="00484C23" w:rsidRPr="00500F57">
        <w:t>The</w:t>
      </w:r>
      <w:r w:rsidRPr="00500F57">
        <w:t xml:space="preserve"> </w:t>
      </w:r>
      <w:r w:rsidR="00484C23" w:rsidRPr="00500F57">
        <w:t>model provides measures of effects from</w:t>
      </w:r>
      <w:r w:rsidR="00C63B05">
        <w:t xml:space="preserve"> spending on</w:t>
      </w:r>
      <w:r w:rsidR="00484C23" w:rsidRPr="00500F57">
        <w:t xml:space="preserve"> infrastructure, products and trips and </w:t>
      </w:r>
      <w:r w:rsidR="00B62ACD">
        <w:t xml:space="preserve">spending related to </w:t>
      </w:r>
      <w:r w:rsidR="00FF547F" w:rsidRPr="00500F57">
        <w:t>active recreation</w:t>
      </w:r>
      <w:r w:rsidRPr="00500F57">
        <w:t xml:space="preserve"> </w:t>
      </w:r>
      <w:r w:rsidR="00484C23" w:rsidRPr="00500F57">
        <w:t xml:space="preserve">travel. In general, there </w:t>
      </w:r>
      <w:r w:rsidR="00B62ACD">
        <w:t>are</w:t>
      </w:r>
      <w:r w:rsidR="00484C23" w:rsidRPr="00500F57">
        <w:t xml:space="preserve"> direct effects and indirect effects.</w:t>
      </w:r>
      <w:r w:rsidR="00D55005" w:rsidRPr="00500F57">
        <w:t xml:space="preserve"> </w:t>
      </w:r>
      <w:r w:rsidR="00484C23" w:rsidRPr="00500F57">
        <w:t>In looking at the</w:t>
      </w:r>
      <w:r w:rsidRPr="00500F57">
        <w:t xml:space="preserve"> gross or net</w:t>
      </w:r>
      <w:r w:rsidR="00484C23" w:rsidRPr="00500F57">
        <w:t xml:space="preserve"> impact of </w:t>
      </w:r>
      <w:r w:rsidR="00FF547F" w:rsidRPr="00500F57">
        <w:t>active recreation</w:t>
      </w:r>
      <w:r w:rsidRPr="00500F57">
        <w:t xml:space="preserve"> on the Victorian economy</w:t>
      </w:r>
      <w:r w:rsidR="00484C23" w:rsidRPr="00500F57">
        <w:t>, we need</w:t>
      </w:r>
      <w:r w:rsidR="00B62ACD">
        <w:t>ed</w:t>
      </w:r>
      <w:r w:rsidR="00484C23" w:rsidRPr="00500F57">
        <w:t xml:space="preserve"> to look at both direct and indirect effects.</w:t>
      </w:r>
    </w:p>
    <w:p w:rsidR="00484C23" w:rsidRDefault="00014BED" w:rsidP="002F27A9">
      <w:r w:rsidRPr="00500F57">
        <w:t>The estimates</w:t>
      </w:r>
      <w:r w:rsidR="00484C23" w:rsidRPr="00500F57">
        <w:t xml:space="preserve"> generated by </w:t>
      </w:r>
      <w:r w:rsidR="00B62ACD">
        <w:t>the</w:t>
      </w:r>
      <w:r w:rsidR="00B62ACD" w:rsidRPr="00500F57">
        <w:t xml:space="preserve"> </w:t>
      </w:r>
      <w:r w:rsidRPr="00500F57">
        <w:t>regional economic impact model</w:t>
      </w:r>
      <w:r w:rsidR="00484C23" w:rsidRPr="00500F57">
        <w:t xml:space="preserve"> </w:t>
      </w:r>
      <w:r w:rsidR="006671BC" w:rsidRPr="00500F57">
        <w:t>are underpinned by an</w:t>
      </w:r>
      <w:r w:rsidR="00484C23" w:rsidRPr="00500F57">
        <w:t xml:space="preserve"> input</w:t>
      </w:r>
      <w:r w:rsidR="00B62ACD">
        <w:t>–</w:t>
      </w:r>
      <w:r w:rsidR="00484C23" w:rsidRPr="00500F57">
        <w:t xml:space="preserve">output model developed by SGS </w:t>
      </w:r>
      <w:r w:rsidR="00B62ACD">
        <w:t>E</w:t>
      </w:r>
      <w:r w:rsidR="00484C23" w:rsidRPr="00500F57">
        <w:t>conomics from national input</w:t>
      </w:r>
      <w:r w:rsidR="00B62ACD">
        <w:t>–</w:t>
      </w:r>
      <w:r w:rsidR="00484C23" w:rsidRPr="00500F57">
        <w:t xml:space="preserve">output figures from the </w:t>
      </w:r>
      <w:r w:rsidR="00B62ACD">
        <w:t>ABS</w:t>
      </w:r>
      <w:r w:rsidR="00484C23" w:rsidRPr="00500F57">
        <w:t>.</w:t>
      </w:r>
      <w:r w:rsidR="00D55005" w:rsidRPr="00500F57">
        <w:t xml:space="preserve"> </w:t>
      </w:r>
      <w:r w:rsidR="00484C23" w:rsidRPr="00500F57">
        <w:t>The ABS figures show the flow of goods and services between all the parts of the Australian economy.</w:t>
      </w:r>
      <w:r w:rsidR="00D55005" w:rsidRPr="00500F57">
        <w:t xml:space="preserve"> </w:t>
      </w:r>
      <w:r w:rsidR="00484C23" w:rsidRPr="00500F57">
        <w:t>The figures developed for each local government area disaggregate th</w:t>
      </w:r>
      <w:r w:rsidR="00B62ACD">
        <w:t>o</w:t>
      </w:r>
      <w:r w:rsidR="00484C23" w:rsidRPr="00500F57">
        <w:t>se total figures across regions using known regional subtotals and forcing the relationship across all regions to match the Australian total.</w:t>
      </w:r>
      <w:r w:rsidR="002E13B9">
        <w:t xml:space="preserve"> </w:t>
      </w:r>
    </w:p>
    <w:p w:rsidR="002E13B9" w:rsidRDefault="002E13B9" w:rsidP="002F27A9">
      <w:r>
        <w:t>The key data sources used in this analysis are listed in Table 16.</w:t>
      </w:r>
    </w:p>
    <w:p w:rsidR="00D55005" w:rsidRPr="00500F57" w:rsidRDefault="00484C23" w:rsidP="002F27A9">
      <w:r w:rsidRPr="00500F57">
        <w:t>While this approac</w:t>
      </w:r>
      <w:r w:rsidR="002E13B9">
        <w:t>h is considered reasonable, the</w:t>
      </w:r>
      <w:r w:rsidRPr="00500F57">
        <w:t xml:space="preserve"> limitations of using input</w:t>
      </w:r>
      <w:r w:rsidR="00B62ACD">
        <w:t>–</w:t>
      </w:r>
      <w:r w:rsidRPr="00500F57">
        <w:t>output models should be noted</w:t>
      </w:r>
      <w:r w:rsidR="006C30F5" w:rsidRPr="00500F57">
        <w:t xml:space="preserve"> (SGS Economics, 2014)</w:t>
      </w:r>
      <w:r w:rsidR="00B62ACD">
        <w:t>:</w:t>
      </w:r>
    </w:p>
    <w:p w:rsidR="00484C23" w:rsidRPr="00500F57" w:rsidRDefault="00014BED" w:rsidP="002F27A9">
      <w:pPr>
        <w:pStyle w:val="ListParagraph"/>
      </w:pPr>
      <w:r w:rsidRPr="00913B3F">
        <w:rPr>
          <w:b/>
        </w:rPr>
        <w:t>The input-</w:t>
      </w:r>
      <w:r w:rsidR="00484C23" w:rsidRPr="00913B3F">
        <w:rPr>
          <w:b/>
        </w:rPr>
        <w:t xml:space="preserve">output approach assumes </w:t>
      </w:r>
      <w:r w:rsidR="00B62ACD" w:rsidRPr="00913B3F">
        <w:rPr>
          <w:b/>
        </w:rPr>
        <w:t xml:space="preserve">that </w:t>
      </w:r>
      <w:r w:rsidR="00484C23" w:rsidRPr="00913B3F">
        <w:rPr>
          <w:b/>
        </w:rPr>
        <w:t>relationships between industries are static</w:t>
      </w:r>
      <w:r w:rsidR="00484C23" w:rsidRPr="00500F57">
        <w:t xml:space="preserve">. </w:t>
      </w:r>
      <w:r w:rsidR="00B62ACD">
        <w:t>P</w:t>
      </w:r>
      <w:r w:rsidR="00484C23" w:rsidRPr="00500F57">
        <w:t>roductivity improvements are not factored in</w:t>
      </w:r>
      <w:r w:rsidR="00B62ACD">
        <w:t>,</w:t>
      </w:r>
      <w:r w:rsidR="00484C23" w:rsidRPr="00500F57">
        <w:t xml:space="preserve"> and historic</w:t>
      </w:r>
      <w:r w:rsidR="00C63B05">
        <w:t>al</w:t>
      </w:r>
      <w:r w:rsidR="00484C23" w:rsidRPr="00500F57">
        <w:t xml:space="preserve"> relationships are assumed to hold</w:t>
      </w:r>
      <w:r w:rsidR="00B62ACD">
        <w:t>, s</w:t>
      </w:r>
      <w:r w:rsidR="00484C23" w:rsidRPr="00500F57">
        <w:t>o businesses are not able to adjust to changes in prices to change the way they produce things.</w:t>
      </w:r>
    </w:p>
    <w:p w:rsidR="00D55005" w:rsidRPr="00500F57" w:rsidRDefault="00484C23" w:rsidP="002F27A9">
      <w:pPr>
        <w:pStyle w:val="ListParagraph"/>
      </w:pPr>
      <w:r w:rsidRPr="00913B3F">
        <w:rPr>
          <w:b/>
        </w:rPr>
        <w:t>The input</w:t>
      </w:r>
      <w:r w:rsidR="00B62ACD" w:rsidRPr="00913B3F">
        <w:rPr>
          <w:b/>
        </w:rPr>
        <w:t>–</w:t>
      </w:r>
      <w:r w:rsidRPr="00913B3F">
        <w:rPr>
          <w:b/>
        </w:rPr>
        <w:t>output approach uses total production estimates.</w:t>
      </w:r>
      <w:r w:rsidRPr="00500F57">
        <w:t xml:space="preserve"> Consequently,</w:t>
      </w:r>
      <w:r w:rsidR="000E51E7" w:rsidRPr="00500F57">
        <w:t xml:space="preserve"> the relationships are average</w:t>
      </w:r>
      <w:r w:rsidRPr="00500F57">
        <w:t>.</w:t>
      </w:r>
      <w:r w:rsidR="00D55005" w:rsidRPr="00500F57">
        <w:t xml:space="preserve"> </w:t>
      </w:r>
      <w:r w:rsidRPr="00500F57">
        <w:t xml:space="preserve">However, if we think about where increases in spending might occur, the </w:t>
      </w:r>
      <w:r w:rsidR="00B62ACD">
        <w:t>spender</w:t>
      </w:r>
      <w:r w:rsidR="00B62ACD" w:rsidRPr="00500F57">
        <w:t xml:space="preserve"> </w:t>
      </w:r>
      <w:r w:rsidRPr="00500F57">
        <w:t xml:space="preserve">would </w:t>
      </w:r>
      <w:r w:rsidR="00B62ACD">
        <w:t xml:space="preserve">be </w:t>
      </w:r>
      <w:r w:rsidRPr="00500F57">
        <w:t>expect</w:t>
      </w:r>
      <w:r w:rsidR="00B62ACD">
        <w:t>ed</w:t>
      </w:r>
      <w:r w:rsidRPr="00500F57">
        <w:t xml:space="preserve"> to look f</w:t>
      </w:r>
      <w:r w:rsidR="000E51E7" w:rsidRPr="00500F57">
        <w:t>or the best value option (or a marginal option).</w:t>
      </w:r>
      <w:r w:rsidR="00D55005" w:rsidRPr="00500F57">
        <w:t xml:space="preserve"> </w:t>
      </w:r>
      <w:r w:rsidR="000E51E7" w:rsidRPr="00500F57">
        <w:t>Using an average</w:t>
      </w:r>
      <w:r w:rsidRPr="00500F57">
        <w:t xml:space="preserve"> approach does not allow for us</w:t>
      </w:r>
      <w:r w:rsidR="000E51E7" w:rsidRPr="00500F57">
        <w:t>ing any underutilised capacity</w:t>
      </w:r>
      <w:r w:rsidRPr="00500F57">
        <w:t xml:space="preserve"> at the industry level or </w:t>
      </w:r>
      <w:r w:rsidR="00C63B05">
        <w:t xml:space="preserve">for </w:t>
      </w:r>
      <w:r w:rsidR="00B62ACD">
        <w:t xml:space="preserve">the </w:t>
      </w:r>
      <w:r w:rsidRPr="00500F57">
        <w:t>better use of existing machinery as production expands from its existing base.</w:t>
      </w:r>
    </w:p>
    <w:p w:rsidR="00D55005" w:rsidRDefault="00484C23" w:rsidP="002F27A9">
      <w:pPr>
        <w:pStyle w:val="ListParagraph"/>
      </w:pPr>
      <w:r w:rsidRPr="00913B3F">
        <w:rPr>
          <w:b/>
        </w:rPr>
        <w:t>All of th</w:t>
      </w:r>
      <w:r w:rsidR="000E51E7" w:rsidRPr="00913B3F">
        <w:rPr>
          <w:b/>
        </w:rPr>
        <w:t xml:space="preserve">e expenditure is assumed to be </w:t>
      </w:r>
      <w:r w:rsidR="00641597" w:rsidRPr="00913B3F">
        <w:rPr>
          <w:b/>
        </w:rPr>
        <w:t xml:space="preserve">in </w:t>
      </w:r>
      <w:r w:rsidRPr="00913B3F">
        <w:rPr>
          <w:b/>
        </w:rPr>
        <w:t xml:space="preserve">new economic activities in each municipality. </w:t>
      </w:r>
      <w:r w:rsidR="00641597">
        <w:t>C</w:t>
      </w:r>
      <w:r w:rsidRPr="00500F57">
        <w:t>rowding out or industry substitution effects are assumed to be negligible.</w:t>
      </w:r>
      <w:r w:rsidR="00D55005" w:rsidRPr="00500F57">
        <w:t xml:space="preserve"> </w:t>
      </w:r>
      <w:r w:rsidRPr="00500F57">
        <w:t>This means that there is sufficient slack in the local economy to service these stimuli without transferring significant resources from other uses.</w:t>
      </w:r>
    </w:p>
    <w:p w:rsidR="002E13B9" w:rsidRDefault="002E13B9" w:rsidP="002F27A9">
      <w:r>
        <w:lastRenderedPageBreak/>
        <w:t xml:space="preserve">The end result of these modelling assumptions is that I-O generally overstates the gross and net-economic impact of industry sectors. </w:t>
      </w:r>
    </w:p>
    <w:p w:rsidR="0034748A" w:rsidRDefault="002E13B9" w:rsidP="0034748A">
      <w:r>
        <w:t xml:space="preserve">An alternative is to use computable general equilibrium (CGE) models to evaluate economic impacts. A CGE incorporates both the underlying relationships within the economy from I-O and the interactions that occur over time.  It will adjust relative costs and explicitly model constraints.  CGE does not solve all problems associated with I-O but it does address many of the issues outlined above. For these reasons, State Governments and Treasury organisations generally prefer economic contribution analyses performed using CGE, particularly when evaluating ‘large’ </w:t>
      </w:r>
      <w:r w:rsidR="0034748A">
        <w:t xml:space="preserve">investments and policy shocks. </w:t>
      </w:r>
    </w:p>
    <w:p w:rsidR="006D6ED4" w:rsidRPr="00500F57" w:rsidRDefault="006D6ED4" w:rsidP="00737DF6">
      <w:pPr>
        <w:pStyle w:val="Caption"/>
      </w:pPr>
      <w:r w:rsidRPr="00500F57">
        <w:t>Table</w:t>
      </w:r>
      <w:bookmarkEnd w:id="94"/>
      <w:r w:rsidR="005A7653">
        <w:t xml:space="preserve"> 16</w:t>
      </w:r>
      <w:r w:rsidRPr="00500F57">
        <w:t>:</w:t>
      </w:r>
      <w:r w:rsidR="00D55005" w:rsidRPr="00500F57">
        <w:t xml:space="preserve"> </w:t>
      </w:r>
      <w:r w:rsidRPr="00500F57">
        <w:t>Key data sources</w:t>
      </w:r>
      <w:r w:rsidR="00D55005" w:rsidRPr="00500F57">
        <w:t>—</w:t>
      </w:r>
      <w:r w:rsidRPr="00500F57">
        <w:t>full list</w:t>
      </w:r>
    </w:p>
    <w:tbl>
      <w:tblPr>
        <w:tblW w:w="4799" w:type="pct"/>
        <w:tblInd w:w="108" w:type="dxa"/>
        <w:tblBorders>
          <w:top w:val="single" w:sz="4" w:space="0" w:color="A6A6A6"/>
          <w:bottom w:val="single" w:sz="4" w:space="0" w:color="A6A6A6"/>
          <w:insideH w:val="single" w:sz="4" w:space="0" w:color="A6A6A6"/>
        </w:tblBorders>
        <w:tblLook w:val="04A0" w:firstRow="1" w:lastRow="0" w:firstColumn="1" w:lastColumn="0" w:noHBand="0" w:noVBand="1"/>
      </w:tblPr>
      <w:tblGrid>
        <w:gridCol w:w="3279"/>
        <w:gridCol w:w="5257"/>
        <w:gridCol w:w="5657"/>
      </w:tblGrid>
      <w:tr w:rsidR="007615CF" w:rsidRPr="00F861A3" w:rsidTr="003E43FC">
        <w:trPr>
          <w:cantSplit/>
          <w:tblHeader/>
        </w:trPr>
        <w:tc>
          <w:tcPr>
            <w:tcW w:w="1155" w:type="pct"/>
          </w:tcPr>
          <w:p w:rsidR="007615CF" w:rsidRPr="007F02D6" w:rsidRDefault="007615CF" w:rsidP="002F27A9">
            <w:pPr>
              <w:pStyle w:val="Tablerow"/>
              <w:rPr>
                <w:b/>
              </w:rPr>
            </w:pPr>
            <w:r w:rsidRPr="007F02D6">
              <w:rPr>
                <w:b/>
              </w:rPr>
              <w:t>Information</w:t>
            </w:r>
          </w:p>
        </w:tc>
        <w:tc>
          <w:tcPr>
            <w:tcW w:w="1852" w:type="pct"/>
          </w:tcPr>
          <w:p w:rsidR="007615CF" w:rsidRPr="007F02D6" w:rsidRDefault="00641597" w:rsidP="002F27A9">
            <w:pPr>
              <w:pStyle w:val="Tablerow"/>
              <w:rPr>
                <w:b/>
              </w:rPr>
            </w:pPr>
            <w:r w:rsidRPr="007F02D6">
              <w:rPr>
                <w:b/>
              </w:rPr>
              <w:t>Data sources</w:t>
            </w:r>
          </w:p>
        </w:tc>
        <w:tc>
          <w:tcPr>
            <w:tcW w:w="1993" w:type="pct"/>
            <w:shd w:val="clear" w:color="auto" w:fill="auto"/>
          </w:tcPr>
          <w:p w:rsidR="007615CF" w:rsidRPr="007F02D6" w:rsidRDefault="007615CF" w:rsidP="002F27A9">
            <w:pPr>
              <w:pStyle w:val="Tablerow"/>
              <w:rPr>
                <w:b/>
              </w:rPr>
            </w:pPr>
            <w:r w:rsidRPr="007F02D6">
              <w:rPr>
                <w:b/>
              </w:rPr>
              <w:t>Comment</w:t>
            </w:r>
            <w:r w:rsidR="00641597" w:rsidRPr="007F02D6">
              <w:rPr>
                <w:b/>
              </w:rPr>
              <w:t>s</w:t>
            </w:r>
          </w:p>
        </w:tc>
      </w:tr>
      <w:tr w:rsidR="003E43FC" w:rsidRPr="00F861A3" w:rsidTr="003E43FC">
        <w:trPr>
          <w:cantSplit/>
        </w:trPr>
        <w:tc>
          <w:tcPr>
            <w:tcW w:w="1155" w:type="pct"/>
            <w:vMerge w:val="restart"/>
          </w:tcPr>
          <w:p w:rsidR="003E43FC" w:rsidRPr="00F861A3" w:rsidRDefault="003E43FC" w:rsidP="002F27A9">
            <w:pPr>
              <w:pStyle w:val="Tablerow"/>
            </w:pPr>
            <w:r w:rsidRPr="00F861A3">
              <w:t>Participation and trends in active recreation activity in Victoria (non-tourism and tourism)</w:t>
            </w:r>
          </w:p>
        </w:tc>
        <w:tc>
          <w:tcPr>
            <w:tcW w:w="1852" w:type="pct"/>
          </w:tcPr>
          <w:p w:rsidR="003E43FC" w:rsidRPr="00F861A3" w:rsidRDefault="003E43FC" w:rsidP="002F27A9">
            <w:pPr>
              <w:pStyle w:val="Tablerow"/>
            </w:pPr>
            <w:r w:rsidRPr="00F861A3">
              <w:t>ABS, Participation in sport and physical recreation, Australia, 2009–14, cat. no. 4177.0</w:t>
            </w:r>
          </w:p>
        </w:tc>
        <w:tc>
          <w:tcPr>
            <w:tcW w:w="1993" w:type="pct"/>
            <w:shd w:val="clear" w:color="auto" w:fill="auto"/>
          </w:tcPr>
          <w:p w:rsidR="003E43FC" w:rsidRPr="00F861A3" w:rsidRDefault="003E43FC" w:rsidP="002F27A9">
            <w:pPr>
              <w:pStyle w:val="Tablerow"/>
            </w:pPr>
            <w:r w:rsidRPr="00F861A3">
              <w:t xml:space="preserve">This data provides total effort (duration, frequency) in active recreation activities used in this report. The data is limited to people 15 years old or over. </w:t>
            </w:r>
          </w:p>
        </w:tc>
      </w:tr>
      <w:tr w:rsidR="003E43FC" w:rsidRPr="00F861A3" w:rsidTr="003E43FC">
        <w:trPr>
          <w:cantSplit/>
        </w:trPr>
        <w:tc>
          <w:tcPr>
            <w:tcW w:w="1155" w:type="pct"/>
            <w:vMerge/>
          </w:tcPr>
          <w:p w:rsidR="003E43FC" w:rsidRPr="00F861A3" w:rsidRDefault="003E43FC" w:rsidP="002F27A9">
            <w:pPr>
              <w:pStyle w:val="Tablerow"/>
            </w:pPr>
          </w:p>
        </w:tc>
        <w:tc>
          <w:tcPr>
            <w:tcW w:w="1852" w:type="pct"/>
          </w:tcPr>
          <w:p w:rsidR="003E43FC" w:rsidRPr="00F861A3" w:rsidRDefault="003E43FC" w:rsidP="002F27A9">
            <w:pPr>
              <w:pStyle w:val="Tablerow"/>
            </w:pPr>
            <w:r w:rsidRPr="00F861A3">
              <w:t>Participation in Exercise, Recreation and Sport Survey (ERASS) 2007–10</w:t>
            </w:r>
          </w:p>
        </w:tc>
        <w:tc>
          <w:tcPr>
            <w:tcW w:w="1993" w:type="pct"/>
            <w:shd w:val="clear" w:color="auto" w:fill="auto"/>
          </w:tcPr>
          <w:p w:rsidR="003E43FC" w:rsidRPr="00F861A3" w:rsidRDefault="003E43FC" w:rsidP="002F27A9">
            <w:pPr>
              <w:pStyle w:val="Tablerow"/>
            </w:pPr>
            <w:r w:rsidRPr="00F861A3">
              <w:t>Survey data on exercise, recreation and sport participation, session frequency and duration of exercise. Categorised across 168 activities. Survey data is quarterly.</w:t>
            </w:r>
          </w:p>
        </w:tc>
      </w:tr>
      <w:tr w:rsidR="003E43FC" w:rsidRPr="00F861A3" w:rsidTr="003E43FC">
        <w:trPr>
          <w:cantSplit/>
        </w:trPr>
        <w:tc>
          <w:tcPr>
            <w:tcW w:w="1155" w:type="pct"/>
            <w:vMerge/>
          </w:tcPr>
          <w:p w:rsidR="003E43FC" w:rsidRPr="00F861A3" w:rsidRDefault="003E43FC" w:rsidP="002F27A9">
            <w:pPr>
              <w:pStyle w:val="Tablerow"/>
            </w:pPr>
          </w:p>
        </w:tc>
        <w:tc>
          <w:tcPr>
            <w:tcW w:w="1852" w:type="pct"/>
          </w:tcPr>
          <w:p w:rsidR="003E43FC" w:rsidRPr="00F861A3" w:rsidRDefault="003E43FC" w:rsidP="002F27A9">
            <w:pPr>
              <w:pStyle w:val="Tablerow"/>
            </w:pPr>
            <w:r w:rsidRPr="00F861A3">
              <w:t>Parks Victoria annual visitor surveys</w:t>
            </w:r>
          </w:p>
        </w:tc>
        <w:tc>
          <w:tcPr>
            <w:tcW w:w="1993" w:type="pct"/>
            <w:shd w:val="clear" w:color="auto" w:fill="auto"/>
          </w:tcPr>
          <w:p w:rsidR="003E43FC" w:rsidRPr="00F861A3" w:rsidRDefault="003E43FC" w:rsidP="002F27A9">
            <w:pPr>
              <w:pStyle w:val="Tablerow"/>
            </w:pPr>
            <w:r w:rsidRPr="00F861A3">
              <w:t xml:space="preserve">This dataset provides first and all mentioned activities for metropolitan and national parks operated by Parks Victoria. To avoid double counting, we used only the walking, running, cycling and swimming figures from the dataset. </w:t>
            </w:r>
          </w:p>
        </w:tc>
      </w:tr>
      <w:tr w:rsidR="003E43FC" w:rsidRPr="00F861A3" w:rsidTr="003E43FC">
        <w:trPr>
          <w:cantSplit/>
        </w:trPr>
        <w:tc>
          <w:tcPr>
            <w:tcW w:w="1155" w:type="pct"/>
            <w:vMerge w:val="restart"/>
          </w:tcPr>
          <w:p w:rsidR="003E43FC" w:rsidRPr="00F861A3" w:rsidRDefault="003E43FC" w:rsidP="002F27A9">
            <w:pPr>
              <w:pStyle w:val="Tablerow"/>
            </w:pPr>
            <w:r w:rsidRPr="00F861A3">
              <w:t>Expenditure on active recreation products and employment in active recreation activities</w:t>
            </w:r>
          </w:p>
        </w:tc>
        <w:tc>
          <w:tcPr>
            <w:tcW w:w="1852" w:type="pct"/>
          </w:tcPr>
          <w:p w:rsidR="003E43FC" w:rsidRPr="00F861A3" w:rsidRDefault="003E43FC" w:rsidP="002F27A9">
            <w:pPr>
              <w:pStyle w:val="Tablerow"/>
            </w:pPr>
            <w:r w:rsidRPr="00F861A3">
              <w:t>ABS, Value of sport, Australia, 2013, cat. no. 4156.0.55.002</w:t>
            </w:r>
          </w:p>
        </w:tc>
        <w:tc>
          <w:tcPr>
            <w:tcW w:w="1993" w:type="pct"/>
            <w:shd w:val="clear" w:color="auto" w:fill="auto"/>
          </w:tcPr>
          <w:p w:rsidR="003E43FC" w:rsidRPr="00F861A3" w:rsidRDefault="003E43FC" w:rsidP="002F27A9">
            <w:pPr>
              <w:pStyle w:val="Tablerow"/>
            </w:pPr>
            <w:r w:rsidRPr="00F861A3">
              <w:t>Includes expenditure per household per week (2009–10) on selected sport and physical recreation products: bicycles, boating and accessories ($2.30 per week); camping equipment ($0.70); fishing equipment ($0.55); golf equipment ($0.45).</w:t>
            </w:r>
          </w:p>
          <w:p w:rsidR="003E43FC" w:rsidRPr="00F861A3" w:rsidRDefault="003E43FC" w:rsidP="002F27A9">
            <w:pPr>
              <w:pStyle w:val="Tablerow"/>
            </w:pPr>
            <w:r w:rsidRPr="00F861A3">
              <w:t>Employment 2011: diving instructor (open water), fishing guide, boat builder and repairer, bungy jump master, greenkeeper, hunting guide, etc.</w:t>
            </w:r>
          </w:p>
          <w:p w:rsidR="003E43FC" w:rsidRPr="00F861A3" w:rsidRDefault="003E43FC" w:rsidP="002F27A9">
            <w:pPr>
              <w:pStyle w:val="Tablerow"/>
            </w:pPr>
            <w:r w:rsidRPr="00F861A3">
              <w:t>Aggregate data only, based on 14,000 respondents.</w:t>
            </w:r>
          </w:p>
        </w:tc>
      </w:tr>
      <w:tr w:rsidR="003E43FC" w:rsidRPr="00F861A3" w:rsidTr="003E43FC">
        <w:trPr>
          <w:cantSplit/>
        </w:trPr>
        <w:tc>
          <w:tcPr>
            <w:tcW w:w="1155" w:type="pct"/>
            <w:vMerge/>
          </w:tcPr>
          <w:p w:rsidR="003E43FC" w:rsidRPr="00F861A3" w:rsidRDefault="003E43FC" w:rsidP="002F27A9">
            <w:pPr>
              <w:pStyle w:val="Tablerow"/>
            </w:pPr>
          </w:p>
        </w:tc>
        <w:tc>
          <w:tcPr>
            <w:tcW w:w="1852" w:type="pct"/>
          </w:tcPr>
          <w:p w:rsidR="003E43FC" w:rsidRPr="00F861A3" w:rsidRDefault="003E43FC" w:rsidP="002F27A9">
            <w:pPr>
              <w:pStyle w:val="Tablerow"/>
            </w:pPr>
            <w:r w:rsidRPr="00F861A3">
              <w:t xml:space="preserve">IBISWorld Australian Market industry reports: bicycle retailing and repair, sports and recreation facilities, marine equipment retailing, hiking and outdoor equipment stores </w:t>
            </w:r>
          </w:p>
        </w:tc>
        <w:tc>
          <w:tcPr>
            <w:tcW w:w="1993" w:type="pct"/>
            <w:shd w:val="clear" w:color="auto" w:fill="auto"/>
          </w:tcPr>
          <w:p w:rsidR="003E43FC" w:rsidRPr="00F861A3" w:rsidRDefault="003E43FC" w:rsidP="002F27A9">
            <w:pPr>
              <w:pStyle w:val="Tablerow"/>
            </w:pPr>
            <w:r w:rsidRPr="00F861A3">
              <w:t xml:space="preserve">This source was used to estimate active recreation equipment expenditure where not covered by the ABS </w:t>
            </w:r>
            <w:r w:rsidRPr="00F861A3">
              <w:rPr>
                <w:i/>
              </w:rPr>
              <w:t>Value of sport, Australia</w:t>
            </w:r>
            <w:r w:rsidRPr="00F861A3">
              <w:t xml:space="preserve"> estimates.</w:t>
            </w:r>
          </w:p>
        </w:tc>
      </w:tr>
      <w:tr w:rsidR="00FF547F" w:rsidRPr="00F861A3" w:rsidTr="003E43FC">
        <w:trPr>
          <w:cantSplit/>
        </w:trPr>
        <w:tc>
          <w:tcPr>
            <w:tcW w:w="1155" w:type="pct"/>
          </w:tcPr>
          <w:p w:rsidR="00FF547F" w:rsidRPr="00F861A3" w:rsidRDefault="00FF547F" w:rsidP="002F27A9">
            <w:pPr>
              <w:pStyle w:val="Tablerow"/>
            </w:pPr>
            <w:r w:rsidRPr="00F861A3">
              <w:lastRenderedPageBreak/>
              <w:t xml:space="preserve">Expenditure, welfare values and trends in </w:t>
            </w:r>
            <w:r w:rsidR="00DE3BCE" w:rsidRPr="00F861A3">
              <w:t xml:space="preserve">active </w:t>
            </w:r>
            <w:r w:rsidRPr="00F861A3">
              <w:t>recreation activity in Victoria (non-tourism) (list not exhaustive)</w:t>
            </w:r>
          </w:p>
        </w:tc>
        <w:tc>
          <w:tcPr>
            <w:tcW w:w="1852" w:type="pct"/>
          </w:tcPr>
          <w:p w:rsidR="00FF547F" w:rsidRPr="00F861A3" w:rsidRDefault="0031617D" w:rsidP="002F27A9">
            <w:pPr>
              <w:pStyle w:val="Tablerow"/>
            </w:pPr>
            <w:r w:rsidRPr="00F861A3">
              <w:t>Marsden Jacob Associates</w:t>
            </w:r>
            <w:r w:rsidR="001770D1" w:rsidRPr="00F861A3">
              <w:t xml:space="preserve"> (2015), </w:t>
            </w:r>
            <w:r w:rsidR="00FF547F" w:rsidRPr="00F861A3">
              <w:t>Economic value of Victoria’s outdoors</w:t>
            </w:r>
            <w:r w:rsidR="001770D1" w:rsidRPr="00F861A3">
              <w:t>.</w:t>
            </w:r>
          </w:p>
          <w:p w:rsidR="00FF547F" w:rsidRPr="00F861A3" w:rsidRDefault="001770D1" w:rsidP="002F27A9">
            <w:pPr>
              <w:pStyle w:val="Tablerow"/>
            </w:pPr>
            <w:r w:rsidRPr="00F861A3">
              <w:t xml:space="preserve">Marsden Jacob Associates (MJA) (2015), </w:t>
            </w:r>
            <w:r w:rsidR="00FF547F" w:rsidRPr="00F861A3">
              <w:t>Economic impact and welfare values of Victorian regional and rural trails</w:t>
            </w:r>
            <w:r w:rsidRPr="00F861A3">
              <w:t>.</w:t>
            </w:r>
          </w:p>
          <w:p w:rsidR="00FF547F" w:rsidRPr="00F861A3" w:rsidRDefault="0031617D" w:rsidP="002F27A9">
            <w:pPr>
              <w:pStyle w:val="Tablerow"/>
            </w:pPr>
            <w:r w:rsidRPr="00F861A3">
              <w:t>Marsden Jacob Associates</w:t>
            </w:r>
            <w:r w:rsidR="001770D1" w:rsidRPr="00F861A3">
              <w:t xml:space="preserve"> (2012), </w:t>
            </w:r>
            <w:r w:rsidR="00FF547F" w:rsidRPr="00F861A3">
              <w:t>Economic evaluation of recreational boating in Victoria</w:t>
            </w:r>
            <w:r w:rsidR="001770D1" w:rsidRPr="00F861A3">
              <w:t>.</w:t>
            </w:r>
          </w:p>
          <w:p w:rsidR="00FF547F" w:rsidRPr="00F861A3" w:rsidRDefault="0031617D" w:rsidP="002F27A9">
            <w:pPr>
              <w:pStyle w:val="Tablerow"/>
            </w:pPr>
            <w:r w:rsidRPr="00F861A3">
              <w:t>Marsden Jacob Associates</w:t>
            </w:r>
            <w:r w:rsidR="001770D1" w:rsidRPr="00F861A3">
              <w:t xml:space="preserve"> (2014), </w:t>
            </w:r>
            <w:r w:rsidR="00FF547F" w:rsidRPr="00F861A3">
              <w:t xml:space="preserve">Economic contribution of recreation at Victorian </w:t>
            </w:r>
            <w:r w:rsidR="00154F7C" w:rsidRPr="00F861A3">
              <w:t>parks</w:t>
            </w:r>
            <w:r w:rsidR="001770D1" w:rsidRPr="00F861A3">
              <w:t>.</w:t>
            </w:r>
          </w:p>
          <w:p w:rsidR="00FF547F" w:rsidRPr="00F861A3" w:rsidRDefault="0031617D" w:rsidP="002F27A9">
            <w:pPr>
              <w:pStyle w:val="Tablerow"/>
            </w:pPr>
            <w:r w:rsidRPr="00F861A3">
              <w:t>RMCG</w:t>
            </w:r>
            <w:r w:rsidR="001770D1" w:rsidRPr="00F861A3">
              <w:t xml:space="preserve"> (2014), </w:t>
            </w:r>
            <w:r w:rsidR="00FF547F" w:rsidRPr="00F861A3">
              <w:t>Estimating the economic impact of hunting in Victoria in 2013</w:t>
            </w:r>
            <w:r w:rsidR="001770D1" w:rsidRPr="00F861A3">
              <w:t>.</w:t>
            </w:r>
          </w:p>
          <w:p w:rsidR="00FF547F" w:rsidRPr="00F861A3" w:rsidRDefault="00FF547F" w:rsidP="002F27A9">
            <w:pPr>
              <w:pStyle w:val="Tablerow"/>
            </w:pPr>
            <w:r w:rsidRPr="00F861A3">
              <w:t>Alpine Resorts Strategic Marketing Plan 2014–2018 (summer and winter visitation statistics and expenditure)</w:t>
            </w:r>
          </w:p>
          <w:p w:rsidR="00FF547F" w:rsidRPr="00F861A3" w:rsidRDefault="001770D1" w:rsidP="002F27A9">
            <w:pPr>
              <w:pStyle w:val="Tablerow"/>
            </w:pPr>
            <w:r w:rsidRPr="00F861A3">
              <w:t xml:space="preserve">Outdoors Victoria (2008), </w:t>
            </w:r>
            <w:r w:rsidR="00FF547F" w:rsidRPr="00F861A3">
              <w:t xml:space="preserve">Australian </w:t>
            </w:r>
            <w:r w:rsidRPr="00F861A3">
              <w:t>outdoor adventure activity benefits catalogue.</w:t>
            </w:r>
          </w:p>
          <w:p w:rsidR="00FF547F" w:rsidRPr="00F861A3" w:rsidRDefault="001770D1" w:rsidP="002F27A9">
            <w:pPr>
              <w:pStyle w:val="Tablerow"/>
            </w:pPr>
            <w:r w:rsidRPr="00F861A3">
              <w:t xml:space="preserve"> (2008), </w:t>
            </w:r>
            <w:r w:rsidR="00FF547F" w:rsidRPr="00F861A3">
              <w:t xml:space="preserve">The cost of physical inactivity: </w:t>
            </w:r>
            <w:r w:rsidRPr="00F861A3">
              <w:t>w</w:t>
            </w:r>
            <w:r w:rsidR="00FF547F" w:rsidRPr="00F861A3">
              <w:t>hat is the lack of participation in physical activity costing Australia</w:t>
            </w:r>
            <w:r w:rsidRPr="00F861A3">
              <w:t>?</w:t>
            </w:r>
          </w:p>
          <w:p w:rsidR="00FF547F" w:rsidRPr="00F861A3" w:rsidRDefault="00FF547F" w:rsidP="002F27A9">
            <w:pPr>
              <w:pStyle w:val="Tablerow"/>
            </w:pPr>
            <w:r w:rsidRPr="00F861A3">
              <w:t xml:space="preserve">J. Thompson Coon, K. </w:t>
            </w:r>
            <w:proofErr w:type="spellStart"/>
            <w:r w:rsidRPr="00F861A3">
              <w:t>Boddy</w:t>
            </w:r>
            <w:proofErr w:type="spellEnd"/>
            <w:r w:rsidRPr="00F861A3">
              <w:t xml:space="preserve">, K. Stein, R. </w:t>
            </w:r>
            <w:proofErr w:type="spellStart"/>
            <w:r w:rsidRPr="00F861A3">
              <w:t>Whear</w:t>
            </w:r>
            <w:proofErr w:type="spellEnd"/>
            <w:r w:rsidRPr="00F861A3">
              <w:t xml:space="preserve">, J. Barton, M. H. </w:t>
            </w:r>
            <w:proofErr w:type="spellStart"/>
            <w:r w:rsidRPr="00F861A3">
              <w:t>Depledge</w:t>
            </w:r>
            <w:proofErr w:type="spellEnd"/>
            <w:r w:rsidRPr="00F861A3">
              <w:t xml:space="preserve"> (2011)</w:t>
            </w:r>
            <w:r w:rsidR="001770D1" w:rsidRPr="00F861A3">
              <w:t>,</w:t>
            </w:r>
            <w:r w:rsidRPr="00F861A3">
              <w:t xml:space="preserve"> </w:t>
            </w:r>
            <w:r w:rsidR="00C63B05" w:rsidRPr="00F861A3">
              <w:t>‘</w:t>
            </w:r>
            <w:r w:rsidRPr="00F861A3">
              <w:t xml:space="preserve">Does </w:t>
            </w:r>
            <w:r w:rsidR="001770D1" w:rsidRPr="00F861A3">
              <w:t>participating in physical activity in outdoor natural environments have a greater effect on physical and mental wellbeing than physical activity indoors</w:t>
            </w:r>
            <w:r w:rsidRPr="00F861A3">
              <w:t xml:space="preserve">? A </w:t>
            </w:r>
            <w:r w:rsidR="001770D1" w:rsidRPr="00F861A3">
              <w:t>systematic review’,</w:t>
            </w:r>
            <w:r w:rsidRPr="00F861A3">
              <w:t xml:space="preserve"> </w:t>
            </w:r>
            <w:r w:rsidRPr="00F861A3">
              <w:rPr>
                <w:i/>
              </w:rPr>
              <w:t>Environmental Science &amp; Technology</w:t>
            </w:r>
            <w:r w:rsidR="001770D1" w:rsidRPr="00F861A3">
              <w:t>,</w:t>
            </w:r>
            <w:r w:rsidRPr="00F861A3">
              <w:t xml:space="preserve"> 45(5)</w:t>
            </w:r>
            <w:r w:rsidR="001770D1" w:rsidRPr="00F861A3">
              <w:t>:</w:t>
            </w:r>
            <w:r w:rsidRPr="00F861A3">
              <w:t>1761–1772</w:t>
            </w:r>
            <w:r w:rsidR="001770D1" w:rsidRPr="00F861A3">
              <w:t>.</w:t>
            </w:r>
          </w:p>
        </w:tc>
        <w:tc>
          <w:tcPr>
            <w:tcW w:w="1993" w:type="pct"/>
            <w:shd w:val="clear" w:color="auto" w:fill="auto"/>
          </w:tcPr>
          <w:p w:rsidR="00FF547F" w:rsidRPr="00F861A3" w:rsidRDefault="00FF547F" w:rsidP="002F27A9">
            <w:pPr>
              <w:pStyle w:val="Tablerow"/>
            </w:pPr>
            <w:r w:rsidRPr="00F861A3">
              <w:t>These studies use a range of approaches to measure economic impacts and welfare values.</w:t>
            </w:r>
          </w:p>
          <w:p w:rsidR="00FF547F" w:rsidRPr="00F861A3" w:rsidRDefault="00FF547F" w:rsidP="002F27A9">
            <w:pPr>
              <w:pStyle w:val="Tablerow"/>
            </w:pPr>
            <w:r w:rsidRPr="00F861A3">
              <w:t>Most studies include estimates of gear, accessories and travel</w:t>
            </w:r>
            <w:r w:rsidR="00154F7C" w:rsidRPr="00F861A3">
              <w:t>-</w:t>
            </w:r>
            <w:r w:rsidRPr="00F861A3">
              <w:t>related expenses</w:t>
            </w:r>
          </w:p>
          <w:p w:rsidR="00FF547F" w:rsidRPr="00F861A3" w:rsidRDefault="00FF547F" w:rsidP="002F27A9">
            <w:pPr>
              <w:pStyle w:val="Tablerow"/>
            </w:pPr>
            <w:r w:rsidRPr="00F861A3">
              <w:t>Several studies include welfare estimates (health and wellbeing), including the studies completed by Marsden Jacob</w:t>
            </w:r>
            <w:r w:rsidR="00154F7C" w:rsidRPr="00F861A3">
              <w:t xml:space="preserve"> Associates.</w:t>
            </w:r>
          </w:p>
        </w:tc>
      </w:tr>
    </w:tbl>
    <w:p w:rsidR="00CA4BAD" w:rsidRDefault="00CA4BAD" w:rsidP="002F27A9">
      <w:pPr>
        <w:pStyle w:val="Heading1"/>
      </w:pPr>
      <w:bookmarkStart w:id="95" w:name="_Toc477964703"/>
      <w:bookmarkStart w:id="96" w:name="_Toc516050189"/>
      <w:r>
        <w:lastRenderedPageBreak/>
        <w:t>References</w:t>
      </w:r>
      <w:bookmarkEnd w:id="95"/>
      <w:bookmarkEnd w:id="96"/>
    </w:p>
    <w:p w:rsidR="00CA4BAD" w:rsidRDefault="000B2DE4" w:rsidP="002F27A9">
      <w:r>
        <w:t>ABS (</w:t>
      </w:r>
      <w:r w:rsidR="00CA4BAD">
        <w:t>Australian Bureau of Statistics</w:t>
      </w:r>
      <w:r>
        <w:t>)</w:t>
      </w:r>
      <w:r w:rsidR="00CA4BAD">
        <w:t xml:space="preserve"> (2015). </w:t>
      </w:r>
      <w:r w:rsidR="00CA4BAD" w:rsidRPr="00B554F3">
        <w:rPr>
          <w:i/>
        </w:rPr>
        <w:t>Labour Force, Australia, Sep</w:t>
      </w:r>
      <w:r w:rsidR="00B554F3" w:rsidRPr="00B554F3">
        <w:rPr>
          <w:i/>
        </w:rPr>
        <w:t>tember</w:t>
      </w:r>
      <w:r w:rsidR="00CA4BAD" w:rsidRPr="00B554F3">
        <w:rPr>
          <w:i/>
        </w:rPr>
        <w:t xml:space="preserve"> 2015</w:t>
      </w:r>
      <w:r w:rsidR="00B554F3">
        <w:t>, cat. no. 6202.0</w:t>
      </w:r>
      <w:r w:rsidR="00CA4BAD">
        <w:t>. Canberra: ABS.</w:t>
      </w:r>
    </w:p>
    <w:p w:rsidR="00CA4BAD" w:rsidRDefault="00CA4BAD" w:rsidP="002F27A9">
      <w:r>
        <w:t xml:space="preserve">Australian Camps Association. (2012). </w:t>
      </w:r>
      <w:r w:rsidRPr="00B554F3">
        <w:rPr>
          <w:i/>
        </w:rPr>
        <w:t xml:space="preserve">Prices and </w:t>
      </w:r>
      <w:r w:rsidR="00B554F3" w:rsidRPr="00B554F3">
        <w:rPr>
          <w:i/>
        </w:rPr>
        <w:t xml:space="preserve">occupancy survey report </w:t>
      </w:r>
      <w:r w:rsidRPr="00B554F3">
        <w:rPr>
          <w:i/>
        </w:rPr>
        <w:t>2012</w:t>
      </w:r>
      <w:r>
        <w:t>. ACA.</w:t>
      </w:r>
    </w:p>
    <w:p w:rsidR="00CA4BAD" w:rsidRDefault="00CA4BAD" w:rsidP="002F27A9">
      <w:r>
        <w:t xml:space="preserve">Bowen, D. J., &amp; </w:t>
      </w:r>
      <w:proofErr w:type="spellStart"/>
      <w:r>
        <w:t>Neilla</w:t>
      </w:r>
      <w:proofErr w:type="spellEnd"/>
      <w:r>
        <w:t xml:space="preserve">, J. T. (2013). A meta-analysis of adventure therapy outcomes and moderators. </w:t>
      </w:r>
      <w:r w:rsidRPr="00B554F3">
        <w:rPr>
          <w:i/>
        </w:rPr>
        <w:t>The Open Psychology Journal</w:t>
      </w:r>
      <w:r>
        <w:t>, 6, 28–53. doi:10.2174/1874350120130802001.</w:t>
      </w:r>
    </w:p>
    <w:p w:rsidR="00CA4BAD" w:rsidRDefault="00CA4BAD" w:rsidP="002F27A9">
      <w:r>
        <w:t xml:space="preserve">Bowen, D. J., &amp; </w:t>
      </w:r>
      <w:proofErr w:type="spellStart"/>
      <w:r>
        <w:t>Neilla</w:t>
      </w:r>
      <w:proofErr w:type="spellEnd"/>
      <w:r>
        <w:t xml:space="preserve">, J. T. (2015). Effects of the PCYC Catalyst outdoor adventure intervention program on youths' life skills, mental health, and delinquent behaviour. </w:t>
      </w:r>
      <w:r w:rsidRPr="00B554F3">
        <w:rPr>
          <w:i/>
        </w:rPr>
        <w:t>International Journal of Adolescence and Youth</w:t>
      </w:r>
      <w:r>
        <w:t xml:space="preserve">, </w:t>
      </w:r>
      <w:proofErr w:type="spellStart"/>
      <w:r w:rsidR="00B554F3">
        <w:t>doi</w:t>
      </w:r>
      <w:proofErr w:type="spellEnd"/>
      <w:r>
        <w:t>: 10.1080/02673843.2015.1027716.</w:t>
      </w:r>
    </w:p>
    <w:p w:rsidR="00CA4BAD" w:rsidRDefault="00CA4BAD" w:rsidP="002F27A9">
      <w:r>
        <w:t xml:space="preserve">Bowler, D., </w:t>
      </w:r>
      <w:proofErr w:type="spellStart"/>
      <w:r>
        <w:t>Buyung</w:t>
      </w:r>
      <w:proofErr w:type="spellEnd"/>
      <w:r>
        <w:t xml:space="preserve">-Ali, L. M., Knight, T. M., &amp; </w:t>
      </w:r>
      <w:proofErr w:type="spellStart"/>
      <w:r>
        <w:t>Pullin</w:t>
      </w:r>
      <w:proofErr w:type="spellEnd"/>
      <w:r>
        <w:t xml:space="preserve">, A. S. (2010). A systematic review of evidence for the added benefits to health of exposure to natural environments. </w:t>
      </w:r>
      <w:r w:rsidRPr="00B554F3">
        <w:rPr>
          <w:i/>
        </w:rPr>
        <w:t>BMC Public Health</w:t>
      </w:r>
      <w:r>
        <w:t>, 10:456</w:t>
      </w:r>
      <w:r w:rsidR="00B554F3">
        <w:t>,</w:t>
      </w:r>
      <w:r>
        <w:t xml:space="preserve"> doi:10.1186/1471-2458-10-456.</w:t>
      </w:r>
    </w:p>
    <w:p w:rsidR="00A243A0" w:rsidRDefault="00A243A0" w:rsidP="002F27A9">
      <w:r>
        <w:t xml:space="preserve">BRA (Business Review Australia) (2013). </w:t>
      </w:r>
      <w:r w:rsidRPr="00B554F3">
        <w:rPr>
          <w:i/>
        </w:rPr>
        <w:t>Australia’s fitness sector sees growth in the billions</w:t>
      </w:r>
      <w:r>
        <w:t xml:space="preserve">, 22 November, </w:t>
      </w:r>
      <w:r w:rsidRPr="00A243A0">
        <w:t>http://www.businessreviewaustralia.com/leadership/153/Australia</w:t>
      </w:r>
      <w:r w:rsidR="00B554F3">
        <w:t>’</w:t>
      </w:r>
      <w:r w:rsidRPr="00A243A0">
        <w:t>s-fitness-sector-sees-growth-in-the-billions</w:t>
      </w:r>
      <w:r>
        <w:t>.</w:t>
      </w:r>
    </w:p>
    <w:p w:rsidR="00CA4BAD" w:rsidRDefault="00CA4BAD" w:rsidP="002F27A9">
      <w:proofErr w:type="spellStart"/>
      <w:r>
        <w:t>Briceno</w:t>
      </w:r>
      <w:proofErr w:type="spellEnd"/>
      <w:r>
        <w:t xml:space="preserve">, T., &amp; </w:t>
      </w:r>
      <w:proofErr w:type="spellStart"/>
      <w:r>
        <w:t>Schundler</w:t>
      </w:r>
      <w:proofErr w:type="spellEnd"/>
      <w:r>
        <w:t xml:space="preserve">, G. (2015). </w:t>
      </w:r>
      <w:r w:rsidRPr="00B554F3">
        <w:t xml:space="preserve">Economic </w:t>
      </w:r>
      <w:r w:rsidR="00B554F3" w:rsidRPr="00B554F3">
        <w:t xml:space="preserve">analysis of outdoor recreation </w:t>
      </w:r>
      <w:r w:rsidRPr="00B554F3">
        <w:t>in Washington State</w:t>
      </w:r>
      <w:r>
        <w:t>. Earth Economics.</w:t>
      </w:r>
    </w:p>
    <w:p w:rsidR="00CA4BAD" w:rsidRDefault="00CA4BAD" w:rsidP="002F27A9">
      <w:proofErr w:type="spellStart"/>
      <w:r>
        <w:t>Cadilhac</w:t>
      </w:r>
      <w:proofErr w:type="spellEnd"/>
      <w:r>
        <w:t xml:space="preserve">, D., Cumming, T., Sheppard, L., Pearce, D., &amp; Carter, R. (2009). </w:t>
      </w:r>
      <w:r w:rsidRPr="00B554F3">
        <w:rPr>
          <w:i/>
        </w:rPr>
        <w:t xml:space="preserve">The health and economic benefits of reducing disease risk factors: </w:t>
      </w:r>
      <w:r w:rsidR="00B554F3" w:rsidRPr="00B554F3">
        <w:rPr>
          <w:i/>
        </w:rPr>
        <w:t>research report</w:t>
      </w:r>
      <w:r>
        <w:t>. Melbourne: VicHealth.</w:t>
      </w:r>
    </w:p>
    <w:p w:rsidR="00CA4BAD" w:rsidRDefault="00CA4BAD" w:rsidP="002F27A9">
      <w:proofErr w:type="spellStart"/>
      <w:r>
        <w:t>Cadilhac</w:t>
      </w:r>
      <w:proofErr w:type="spellEnd"/>
      <w:r>
        <w:t xml:space="preserve">, D., Cumming, T., Sheppard, L., Pearce, D., Carter, R., &amp; Magnus, A. (2011). The economic benefits of reducing physical inactivity: an Australian example. </w:t>
      </w:r>
      <w:r w:rsidRPr="00B554F3">
        <w:rPr>
          <w:i/>
        </w:rPr>
        <w:t xml:space="preserve">International Journal of </w:t>
      </w:r>
      <w:proofErr w:type="spellStart"/>
      <w:r w:rsidRPr="00B554F3">
        <w:rPr>
          <w:i/>
        </w:rPr>
        <w:t>Behavioral</w:t>
      </w:r>
      <w:proofErr w:type="spellEnd"/>
      <w:r w:rsidRPr="00B554F3">
        <w:rPr>
          <w:i/>
        </w:rPr>
        <w:t xml:space="preserve"> Nutrition and Physical Activity</w:t>
      </w:r>
      <w:r>
        <w:t>, 8:99.</w:t>
      </w:r>
    </w:p>
    <w:p w:rsidR="00CA4BAD" w:rsidRDefault="00CA4BAD" w:rsidP="002F27A9">
      <w:r>
        <w:t xml:space="preserve">Commonwealth of Australia. (2011). </w:t>
      </w:r>
      <w:r w:rsidRPr="00B554F3">
        <w:t>National Sport and Active Recreation Policy Framework</w:t>
      </w:r>
      <w:r>
        <w:t>. Canberra.</w:t>
      </w:r>
    </w:p>
    <w:p w:rsidR="00CA4BAD" w:rsidRDefault="00CA4BAD" w:rsidP="002F27A9">
      <w:r>
        <w:t xml:space="preserve">Coon, </w:t>
      </w:r>
      <w:r w:rsidR="00154F7C">
        <w:t xml:space="preserve">J. </w:t>
      </w:r>
      <w:r>
        <w:t xml:space="preserve">T., </w:t>
      </w:r>
      <w:proofErr w:type="spellStart"/>
      <w:r>
        <w:t>Boddy</w:t>
      </w:r>
      <w:proofErr w:type="spellEnd"/>
      <w:r>
        <w:t xml:space="preserve">, K., Stein, K., </w:t>
      </w:r>
      <w:proofErr w:type="spellStart"/>
      <w:r>
        <w:t>Whear</w:t>
      </w:r>
      <w:proofErr w:type="spellEnd"/>
      <w:r>
        <w:t xml:space="preserve">, R., Barton, J., &amp; </w:t>
      </w:r>
      <w:proofErr w:type="spellStart"/>
      <w:r>
        <w:t>Depledge</w:t>
      </w:r>
      <w:proofErr w:type="spellEnd"/>
      <w:r>
        <w:t xml:space="preserve">, M. (2011). Does </w:t>
      </w:r>
      <w:r w:rsidR="00B554F3">
        <w:t>participating in physical activity in outdoor natural environments have a greater effect on physical and mental wellbeing than physical activity indoors? a systematic review</w:t>
      </w:r>
      <w:r>
        <w:t xml:space="preserve">. </w:t>
      </w:r>
      <w:r w:rsidRPr="00B554F3">
        <w:rPr>
          <w:i/>
        </w:rPr>
        <w:t>Environmental Science &amp; Technology</w:t>
      </w:r>
      <w:r>
        <w:t>, http://pubs.acs.org/doi/abs/10.1021/es102947t.</w:t>
      </w:r>
    </w:p>
    <w:p w:rsidR="00CA4BAD" w:rsidRDefault="00CA4BAD" w:rsidP="002F27A9">
      <w:r>
        <w:lastRenderedPageBreak/>
        <w:t xml:space="preserve">Dickson, T. J., </w:t>
      </w:r>
      <w:proofErr w:type="spellStart"/>
      <w:r>
        <w:t>Gray</w:t>
      </w:r>
      <w:proofErr w:type="spellEnd"/>
      <w:r>
        <w:t xml:space="preserve">, T., &amp; Mann, K. (2008). </w:t>
      </w:r>
      <w:r w:rsidRPr="00B554F3">
        <w:rPr>
          <w:i/>
        </w:rPr>
        <w:t xml:space="preserve">Australian </w:t>
      </w:r>
      <w:r w:rsidR="00B554F3" w:rsidRPr="00B554F3">
        <w:rPr>
          <w:i/>
        </w:rPr>
        <w:t>outdoor adventure activity benefits catalogue</w:t>
      </w:r>
      <w:r>
        <w:t>. Canberra: Outdoor Council of Australia.</w:t>
      </w:r>
    </w:p>
    <w:p w:rsidR="00CA4BAD" w:rsidRDefault="00CA4BAD" w:rsidP="002F27A9">
      <w:r>
        <w:t xml:space="preserve">Ding, D., Lawson, K., Kolbe-Alexander, T., Finkelstein, E., </w:t>
      </w:r>
      <w:proofErr w:type="spellStart"/>
      <w:r>
        <w:t>Katzmarzyk</w:t>
      </w:r>
      <w:proofErr w:type="spellEnd"/>
      <w:r>
        <w:t xml:space="preserve">, P., van </w:t>
      </w:r>
      <w:proofErr w:type="spellStart"/>
      <w:r>
        <w:t>Mechelen</w:t>
      </w:r>
      <w:proofErr w:type="spellEnd"/>
      <w:r>
        <w:t xml:space="preserve">, W., &amp; Pratt, M. (2016). The economic burden of physical inactivity: a global analysis of major non-communicable diseases. </w:t>
      </w:r>
      <w:r w:rsidRPr="00B554F3">
        <w:rPr>
          <w:i/>
        </w:rPr>
        <w:t>The Lancet</w:t>
      </w:r>
      <w:r>
        <w:t>, http://dx.doi.org/10.1016/S0140-6736(16)30383-X.</w:t>
      </w:r>
    </w:p>
    <w:p w:rsidR="00EB5BA9" w:rsidRDefault="00EB5BA9" w:rsidP="002F27A9">
      <w:proofErr w:type="spellStart"/>
      <w:r>
        <w:t>DoH</w:t>
      </w:r>
      <w:proofErr w:type="spellEnd"/>
      <w:r>
        <w:t xml:space="preserve"> (Department of Health) (2014). </w:t>
      </w:r>
      <w:r w:rsidRPr="00B554F3">
        <w:rPr>
          <w:i/>
        </w:rPr>
        <w:t>Australia’s physical activity and sedentary behaviour guidelines</w:t>
      </w:r>
      <w:r>
        <w:t xml:space="preserve">, </w:t>
      </w:r>
      <w:r w:rsidRPr="00D40822">
        <w:t>http://www.health.gov.au/internet/main/publishing.nsf/content/health-pubhlth-strateg-phys-act-guidelines</w:t>
      </w:r>
      <w:r>
        <w:t xml:space="preserve">. Canberra: </w:t>
      </w:r>
      <w:proofErr w:type="spellStart"/>
      <w:r>
        <w:t>DoH</w:t>
      </w:r>
      <w:proofErr w:type="spellEnd"/>
      <w:r>
        <w:t>.</w:t>
      </w:r>
    </w:p>
    <w:p w:rsidR="00CA4BAD" w:rsidRDefault="00CA4BAD" w:rsidP="002F27A9">
      <w:r>
        <w:t>Medibank Private and KMPG-</w:t>
      </w:r>
      <w:proofErr w:type="spellStart"/>
      <w:r>
        <w:t>Econtech</w:t>
      </w:r>
      <w:proofErr w:type="spellEnd"/>
      <w:r>
        <w:t xml:space="preserve"> (2008). </w:t>
      </w:r>
      <w:r w:rsidRPr="00B554F3">
        <w:rPr>
          <w:i/>
        </w:rPr>
        <w:t>The cost of physical inactivity</w:t>
      </w:r>
      <w:r>
        <w:t>. Melbourne: Medibank Private .</w:t>
      </w:r>
    </w:p>
    <w:p w:rsidR="00CA4BAD" w:rsidRDefault="00CA4BAD" w:rsidP="002F27A9">
      <w:r>
        <w:t xml:space="preserve">Mitchell, R. (2013). Is physical activity in natural environments better for mental health than physical activity in other environments? </w:t>
      </w:r>
      <w:r w:rsidRPr="00B554F3">
        <w:rPr>
          <w:i/>
        </w:rPr>
        <w:t>Social Science &amp; Medicine</w:t>
      </w:r>
      <w:r w:rsidR="00B554F3">
        <w:t>, 91:130–13</w:t>
      </w:r>
      <w:r>
        <w:t>4.</w:t>
      </w:r>
    </w:p>
    <w:p w:rsidR="00354B7C" w:rsidRDefault="00354B7C" w:rsidP="002F27A9">
      <w:r>
        <w:t xml:space="preserve">MJA (Marsden Jacob Associates) (2016). </w:t>
      </w:r>
      <w:r w:rsidRPr="000F0AFD">
        <w:rPr>
          <w:i/>
        </w:rPr>
        <w:t>Victoria’s nature-based outdoor economy: key estimates and recommendations</w:t>
      </w:r>
      <w:r>
        <w:t xml:space="preserve">, report prepared for Outdoors Victoria and Sport and Recreation Victoria, </w:t>
      </w:r>
      <w:r w:rsidRPr="00354B7C">
        <w:t>http://outdoorsvictoria.org.au/wp-content/uploads/2016/03/Outdoor-Economics.pdf</w:t>
      </w:r>
      <w:r>
        <w:t>.</w:t>
      </w:r>
    </w:p>
    <w:p w:rsidR="00CA4BAD" w:rsidRDefault="00CA4BAD" w:rsidP="002F27A9">
      <w:r>
        <w:t>Neill, J. T. (2008). Meta-</w:t>
      </w:r>
      <w:r w:rsidR="00B554F3">
        <w:t>analytic research on the outcomes of outdoor education</w:t>
      </w:r>
      <w:r>
        <w:t>. Paper presented to the 6th Biennial Coalition for Education in the Outdoors Research Symposium, Bradford Woods, I</w:t>
      </w:r>
      <w:r w:rsidR="00B554F3">
        <w:t>ndiana, 11–</w:t>
      </w:r>
      <w:r>
        <w:t>13 January 2002</w:t>
      </w:r>
      <w:r w:rsidR="00B554F3">
        <w:t xml:space="preserve">, </w:t>
      </w:r>
      <w:r>
        <w:t>http://wilderdom.com/research/researchoutcomesmeta-analytic.htm.</w:t>
      </w:r>
    </w:p>
    <w:p w:rsidR="00CA4BAD" w:rsidRDefault="000B2DE4" w:rsidP="002F27A9">
      <w:r>
        <w:t>QORF (</w:t>
      </w:r>
      <w:r w:rsidR="00CA4BAD">
        <w:t>Queensland Outdoor Recreation Federation</w:t>
      </w:r>
      <w:r>
        <w:t>)</w:t>
      </w:r>
      <w:r w:rsidR="00CA4BAD">
        <w:t xml:space="preserve"> (2012). </w:t>
      </w:r>
      <w:r w:rsidR="00CA4BAD" w:rsidRPr="00B554F3">
        <w:rPr>
          <w:i/>
        </w:rPr>
        <w:t xml:space="preserve">Measuring the contribution of the </w:t>
      </w:r>
      <w:r w:rsidR="00B554F3" w:rsidRPr="00B554F3">
        <w:rPr>
          <w:i/>
        </w:rPr>
        <w:t xml:space="preserve">outdoor recreation sector </w:t>
      </w:r>
      <w:r w:rsidR="00CA4BAD" w:rsidRPr="00B554F3">
        <w:rPr>
          <w:i/>
        </w:rPr>
        <w:t>in Queensland</w:t>
      </w:r>
      <w:r w:rsidR="00CA4BAD">
        <w:t>. Brisbane: Q</w:t>
      </w:r>
      <w:r w:rsidR="00B554F3">
        <w:t>ORF</w:t>
      </w:r>
      <w:r w:rsidR="00CA4BAD">
        <w:t>.</w:t>
      </w:r>
    </w:p>
    <w:p w:rsidR="000F6BAD" w:rsidRDefault="00CA4BAD" w:rsidP="000F6BAD">
      <w:r>
        <w:t xml:space="preserve">VicHealth (2016). </w:t>
      </w:r>
      <w:r w:rsidRPr="00B554F3">
        <w:t>Physical activity and sedentary behaviour: evidence summary</w:t>
      </w:r>
      <w:bookmarkStart w:id="97" w:name="_Toc477964704"/>
      <w:r w:rsidR="00A200B7">
        <w:t>. Melbourne: VicHealth.</w:t>
      </w:r>
    </w:p>
    <w:p w:rsidR="000F6BAD" w:rsidRDefault="000F6BAD">
      <w:pPr>
        <w:keepLines w:val="0"/>
        <w:spacing w:after="0" w:line="240" w:lineRule="auto"/>
      </w:pPr>
      <w:r>
        <w:br w:type="page"/>
      </w:r>
    </w:p>
    <w:p w:rsidR="00CA4BAD" w:rsidRDefault="00EA493A" w:rsidP="000F6BAD">
      <w:pPr>
        <w:pStyle w:val="Heading1"/>
      </w:pPr>
      <w:bookmarkStart w:id="98" w:name="_Toc516050190"/>
      <w:r>
        <w:lastRenderedPageBreak/>
        <w:t>A</w:t>
      </w:r>
      <w:r w:rsidR="00CA4BAD">
        <w:t>cronyms and abbreviations</w:t>
      </w:r>
      <w:bookmarkEnd w:id="97"/>
      <w:bookmarkEnd w:id="98"/>
    </w:p>
    <w:p w:rsidR="00343AA2" w:rsidRDefault="00343AA2" w:rsidP="00737DF6">
      <w:pPr>
        <w:pStyle w:val="Caption"/>
      </w:pPr>
      <w:r>
        <w:t>List of acronyms and abbreviations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536"/>
      </w:tblGrid>
      <w:tr w:rsidR="00CA4BAD" w:rsidRPr="00F861A3" w:rsidTr="000F6BAD">
        <w:trPr>
          <w:trHeight w:val="284"/>
        </w:trPr>
        <w:tc>
          <w:tcPr>
            <w:tcW w:w="1560" w:type="dxa"/>
          </w:tcPr>
          <w:p w:rsidR="00CA4BAD" w:rsidRPr="007F02D6" w:rsidRDefault="00CA4BAD" w:rsidP="002F27A9">
            <w:pPr>
              <w:pStyle w:val="Tablerow"/>
              <w:rPr>
                <w:b/>
              </w:rPr>
            </w:pPr>
            <w:r w:rsidRPr="007F02D6">
              <w:rPr>
                <w:b/>
              </w:rPr>
              <w:t>ABS</w:t>
            </w:r>
          </w:p>
        </w:tc>
        <w:tc>
          <w:tcPr>
            <w:tcW w:w="4536" w:type="dxa"/>
          </w:tcPr>
          <w:p w:rsidR="00CA4BAD" w:rsidRPr="00F861A3" w:rsidRDefault="00CA4BAD" w:rsidP="002F27A9">
            <w:pPr>
              <w:pStyle w:val="Tablerow"/>
            </w:pPr>
            <w:r w:rsidRPr="00F861A3">
              <w:t>Australian Bureau of Statistics</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DALYs</w:t>
            </w:r>
          </w:p>
        </w:tc>
        <w:tc>
          <w:tcPr>
            <w:tcW w:w="4536" w:type="dxa"/>
          </w:tcPr>
          <w:p w:rsidR="00CA4BAD" w:rsidRPr="00F861A3" w:rsidRDefault="00CA4BAD" w:rsidP="002F27A9">
            <w:pPr>
              <w:pStyle w:val="Tablerow"/>
            </w:pPr>
            <w:r w:rsidRPr="00F861A3">
              <w:t>disability-adjusted life years</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DHHS</w:t>
            </w:r>
          </w:p>
        </w:tc>
        <w:tc>
          <w:tcPr>
            <w:tcW w:w="4536" w:type="dxa"/>
          </w:tcPr>
          <w:p w:rsidR="00CA4BAD" w:rsidRPr="00F861A3" w:rsidRDefault="00CA4BAD" w:rsidP="002F27A9">
            <w:pPr>
              <w:pStyle w:val="Tablerow"/>
            </w:pPr>
            <w:r w:rsidRPr="00F861A3">
              <w:t>Department of Health and Human Services</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ERASS</w:t>
            </w:r>
          </w:p>
        </w:tc>
        <w:tc>
          <w:tcPr>
            <w:tcW w:w="4536" w:type="dxa"/>
          </w:tcPr>
          <w:p w:rsidR="00CA4BAD" w:rsidRPr="00F861A3" w:rsidRDefault="00CA4BAD" w:rsidP="002F27A9">
            <w:pPr>
              <w:pStyle w:val="Tablerow"/>
            </w:pPr>
            <w:r w:rsidRPr="00F861A3">
              <w:t>Participation in Exercise, Recreation and Sport Survey</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FCA</w:t>
            </w:r>
          </w:p>
        </w:tc>
        <w:tc>
          <w:tcPr>
            <w:tcW w:w="4536" w:type="dxa"/>
          </w:tcPr>
          <w:p w:rsidR="00CA4BAD" w:rsidRPr="00F861A3" w:rsidRDefault="00CA4BAD" w:rsidP="002F27A9">
            <w:pPr>
              <w:pStyle w:val="Tablerow"/>
            </w:pPr>
            <w:r w:rsidRPr="00F861A3">
              <w:t>friction cost approach</w:t>
            </w:r>
          </w:p>
        </w:tc>
      </w:tr>
      <w:tr w:rsidR="00C63B05" w:rsidRPr="00F861A3" w:rsidTr="000F6BAD">
        <w:trPr>
          <w:trHeight w:val="284"/>
        </w:trPr>
        <w:tc>
          <w:tcPr>
            <w:tcW w:w="1560" w:type="dxa"/>
          </w:tcPr>
          <w:p w:rsidR="00C63B05" w:rsidRPr="007F02D6" w:rsidRDefault="00C63B05" w:rsidP="002F27A9">
            <w:pPr>
              <w:pStyle w:val="Tablerow"/>
              <w:rPr>
                <w:b/>
              </w:rPr>
            </w:pPr>
            <w:r w:rsidRPr="007F02D6">
              <w:rPr>
                <w:b/>
              </w:rPr>
              <w:t>FTE</w:t>
            </w:r>
          </w:p>
        </w:tc>
        <w:tc>
          <w:tcPr>
            <w:tcW w:w="4536" w:type="dxa"/>
          </w:tcPr>
          <w:p w:rsidR="00C63B05" w:rsidRPr="00F861A3" w:rsidRDefault="00C63B05" w:rsidP="002F27A9">
            <w:pPr>
              <w:pStyle w:val="Tablerow"/>
            </w:pPr>
            <w:r w:rsidRPr="00F861A3">
              <w:t>full-time equivalent</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GSP</w:t>
            </w:r>
          </w:p>
        </w:tc>
        <w:tc>
          <w:tcPr>
            <w:tcW w:w="4536" w:type="dxa"/>
          </w:tcPr>
          <w:p w:rsidR="00CA4BAD" w:rsidRPr="00F861A3" w:rsidRDefault="00CA4BAD" w:rsidP="002F27A9">
            <w:pPr>
              <w:pStyle w:val="Tablerow"/>
            </w:pPr>
            <w:r w:rsidRPr="00F861A3">
              <w:t>gross state produ</w:t>
            </w:r>
            <w:r w:rsidR="00154F7C" w:rsidRPr="00F861A3">
              <w:t>ct</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GVA</w:t>
            </w:r>
          </w:p>
        </w:tc>
        <w:tc>
          <w:tcPr>
            <w:tcW w:w="4536" w:type="dxa"/>
          </w:tcPr>
          <w:p w:rsidR="00CA4BAD" w:rsidRPr="00F861A3" w:rsidRDefault="00CA4BAD" w:rsidP="002F27A9">
            <w:pPr>
              <w:pStyle w:val="Tablerow"/>
            </w:pPr>
            <w:r w:rsidRPr="00F861A3">
              <w:t>gross value-added</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HCA</w:t>
            </w:r>
          </w:p>
        </w:tc>
        <w:tc>
          <w:tcPr>
            <w:tcW w:w="4536" w:type="dxa"/>
          </w:tcPr>
          <w:p w:rsidR="00CA4BAD" w:rsidRPr="00F861A3" w:rsidRDefault="00CA4BAD" w:rsidP="002F27A9">
            <w:pPr>
              <w:pStyle w:val="Tablerow"/>
            </w:pPr>
            <w:r w:rsidRPr="00F861A3">
              <w:t>human capital approach</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MET</w:t>
            </w:r>
          </w:p>
        </w:tc>
        <w:tc>
          <w:tcPr>
            <w:tcW w:w="4536" w:type="dxa"/>
          </w:tcPr>
          <w:p w:rsidR="00CA4BAD" w:rsidRPr="00F861A3" w:rsidRDefault="00CA4BAD" w:rsidP="002F27A9">
            <w:pPr>
              <w:pStyle w:val="Tablerow"/>
            </w:pPr>
            <w:r w:rsidRPr="00F861A3">
              <w:t>metabolic equivalent of task</w:t>
            </w:r>
          </w:p>
        </w:tc>
      </w:tr>
      <w:tr w:rsidR="002A233D" w:rsidRPr="00F861A3" w:rsidTr="000F6BAD">
        <w:trPr>
          <w:trHeight w:val="284"/>
        </w:trPr>
        <w:tc>
          <w:tcPr>
            <w:tcW w:w="1560" w:type="dxa"/>
          </w:tcPr>
          <w:p w:rsidR="002A233D" w:rsidRPr="007F02D6" w:rsidRDefault="002A233D" w:rsidP="002F27A9">
            <w:pPr>
              <w:pStyle w:val="Tablerow"/>
              <w:rPr>
                <w:b/>
              </w:rPr>
            </w:pPr>
            <w:r w:rsidRPr="007F02D6">
              <w:rPr>
                <w:b/>
              </w:rPr>
              <w:t>MJA</w:t>
            </w:r>
          </w:p>
        </w:tc>
        <w:tc>
          <w:tcPr>
            <w:tcW w:w="4536" w:type="dxa"/>
          </w:tcPr>
          <w:p w:rsidR="002A233D" w:rsidRPr="00F861A3" w:rsidRDefault="002A233D" w:rsidP="002F27A9">
            <w:pPr>
              <w:pStyle w:val="Tablerow"/>
            </w:pPr>
            <w:r w:rsidRPr="00F861A3">
              <w:t>Marsden Jacob Associates</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PAF</w:t>
            </w:r>
          </w:p>
        </w:tc>
        <w:tc>
          <w:tcPr>
            <w:tcW w:w="4536" w:type="dxa"/>
          </w:tcPr>
          <w:p w:rsidR="00CA4BAD" w:rsidRPr="00F861A3" w:rsidRDefault="00CA4BAD" w:rsidP="002F27A9">
            <w:pPr>
              <w:pStyle w:val="Tablerow"/>
            </w:pPr>
            <w:r w:rsidRPr="00F861A3">
              <w:t>population attributable fraction</w:t>
            </w:r>
          </w:p>
        </w:tc>
      </w:tr>
      <w:tr w:rsidR="00C63B05" w:rsidRPr="00F861A3" w:rsidTr="000F6BAD">
        <w:trPr>
          <w:trHeight w:val="284"/>
        </w:trPr>
        <w:tc>
          <w:tcPr>
            <w:tcW w:w="1560" w:type="dxa"/>
          </w:tcPr>
          <w:p w:rsidR="00C63B05" w:rsidRPr="007F02D6" w:rsidRDefault="00C63B05" w:rsidP="002F27A9">
            <w:pPr>
              <w:pStyle w:val="Tablerow"/>
              <w:rPr>
                <w:b/>
              </w:rPr>
            </w:pPr>
            <w:r w:rsidRPr="007F02D6">
              <w:rPr>
                <w:b/>
              </w:rPr>
              <w:t>RFI</w:t>
            </w:r>
          </w:p>
        </w:tc>
        <w:tc>
          <w:tcPr>
            <w:tcW w:w="4536" w:type="dxa"/>
          </w:tcPr>
          <w:p w:rsidR="00C63B05" w:rsidRPr="00F861A3" w:rsidRDefault="00C63B05" w:rsidP="002F27A9">
            <w:pPr>
              <w:pStyle w:val="Tablerow"/>
            </w:pPr>
            <w:r w:rsidRPr="00F861A3">
              <w:t>risk factor impact</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TRA</w:t>
            </w:r>
          </w:p>
        </w:tc>
        <w:tc>
          <w:tcPr>
            <w:tcW w:w="4536" w:type="dxa"/>
          </w:tcPr>
          <w:p w:rsidR="00CA4BAD" w:rsidRPr="00F861A3" w:rsidRDefault="00CA4BAD" w:rsidP="002F27A9">
            <w:pPr>
              <w:pStyle w:val="Tablerow"/>
            </w:pPr>
            <w:r w:rsidRPr="00F861A3">
              <w:t>Tourism Research Australia</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YLDs</w:t>
            </w:r>
          </w:p>
        </w:tc>
        <w:tc>
          <w:tcPr>
            <w:tcW w:w="4536" w:type="dxa"/>
          </w:tcPr>
          <w:p w:rsidR="00CA4BAD" w:rsidRPr="00F861A3" w:rsidRDefault="00CA4BAD" w:rsidP="002F27A9">
            <w:pPr>
              <w:pStyle w:val="Tablerow"/>
            </w:pPr>
            <w:r w:rsidRPr="00F861A3">
              <w:t>years lost due to disability</w:t>
            </w:r>
          </w:p>
        </w:tc>
      </w:tr>
      <w:tr w:rsidR="00CA4BAD" w:rsidRPr="00F861A3" w:rsidTr="000F6BAD">
        <w:trPr>
          <w:trHeight w:val="284"/>
        </w:trPr>
        <w:tc>
          <w:tcPr>
            <w:tcW w:w="1560" w:type="dxa"/>
          </w:tcPr>
          <w:p w:rsidR="00CA4BAD" w:rsidRPr="007F02D6" w:rsidRDefault="00CA4BAD" w:rsidP="002F27A9">
            <w:pPr>
              <w:pStyle w:val="Tablerow"/>
              <w:rPr>
                <w:b/>
              </w:rPr>
            </w:pPr>
            <w:r w:rsidRPr="007F02D6">
              <w:rPr>
                <w:b/>
              </w:rPr>
              <w:t>YLLs</w:t>
            </w:r>
          </w:p>
        </w:tc>
        <w:tc>
          <w:tcPr>
            <w:tcW w:w="4536" w:type="dxa"/>
          </w:tcPr>
          <w:p w:rsidR="00CA4BAD" w:rsidRPr="00F861A3" w:rsidRDefault="00CA4BAD" w:rsidP="002F27A9">
            <w:pPr>
              <w:pStyle w:val="Tablerow"/>
            </w:pPr>
            <w:r w:rsidRPr="00F861A3">
              <w:t>years of life lost</w:t>
            </w:r>
          </w:p>
        </w:tc>
      </w:tr>
    </w:tbl>
    <w:p w:rsidR="004E69C1" w:rsidRDefault="004E69C1" w:rsidP="00E20CED">
      <w:pPr>
        <w:pStyle w:val="Heading1"/>
      </w:pPr>
      <w:bookmarkStart w:id="99" w:name="_Toc516050191"/>
      <w:bookmarkEnd w:id="59"/>
      <w:r w:rsidRPr="004E69C1">
        <w:lastRenderedPageBreak/>
        <w:t>Figure Descriptions</w:t>
      </w:r>
      <w:bookmarkEnd w:id="99"/>
    </w:p>
    <w:p w:rsidR="004E69C1" w:rsidRDefault="004E69C1" w:rsidP="00E20E7D">
      <w:pPr>
        <w:pStyle w:val="Caption"/>
      </w:pPr>
      <w:r w:rsidRPr="00500F57">
        <w:t>Figure</w:t>
      </w:r>
      <w:r>
        <w:t xml:space="preserve"> 1</w:t>
      </w:r>
      <w:r w:rsidRPr="00500F57">
        <w:t xml:space="preserve">: </w:t>
      </w:r>
      <w:r>
        <w:t>Active</w:t>
      </w:r>
      <w:r w:rsidRPr="00500F57">
        <w:t xml:space="preserve"> recreation </w:t>
      </w:r>
      <w:r>
        <w:t>in</w:t>
      </w:r>
      <w:r w:rsidRPr="00500F57">
        <w:t xml:space="preserve"> Victoria</w:t>
      </w:r>
      <w:r>
        <w:t xml:space="preserve"> 2017 – 12 headline numbers</w:t>
      </w:r>
    </w:p>
    <w:p w:rsidR="004E69C1" w:rsidRDefault="004E69C1">
      <w:pPr>
        <w:keepLines w:val="0"/>
        <w:spacing w:after="0" w:line="240" w:lineRule="auto"/>
      </w:pPr>
    </w:p>
    <w:p w:rsidR="004E69C1" w:rsidRDefault="004E69C1" w:rsidP="004E69C1">
      <w:pPr>
        <w:pStyle w:val="ListParagraph"/>
        <w:keepLines w:val="0"/>
        <w:numPr>
          <w:ilvl w:val="0"/>
          <w:numId w:val="26"/>
        </w:numPr>
        <w:spacing w:after="0" w:line="240" w:lineRule="auto"/>
      </w:pPr>
      <w:r>
        <w:t>725 million - n</w:t>
      </w:r>
      <w:r w:rsidRPr="004E69C1">
        <w:t>umber of times Victorians aged 15+ years par</w:t>
      </w:r>
      <w:r>
        <w:t>ticipated in active recreation</w:t>
      </w:r>
    </w:p>
    <w:p w:rsidR="004E69C1" w:rsidRDefault="004E69C1" w:rsidP="004E69C1">
      <w:pPr>
        <w:pStyle w:val="ListParagraph"/>
        <w:keepLines w:val="0"/>
        <w:numPr>
          <w:ilvl w:val="0"/>
          <w:numId w:val="26"/>
        </w:numPr>
        <w:spacing w:after="0" w:line="240" w:lineRule="auto"/>
      </w:pPr>
      <w:r w:rsidRPr="004E69C1">
        <w:t>612 million hours of active recreation und</w:t>
      </w:r>
      <w:r>
        <w:t>ertaken by Victorians aged 15+</w:t>
      </w:r>
    </w:p>
    <w:p w:rsidR="004E69C1" w:rsidRDefault="00E20E7D" w:rsidP="004E69C1">
      <w:pPr>
        <w:pStyle w:val="ListParagraph"/>
        <w:keepLines w:val="0"/>
        <w:numPr>
          <w:ilvl w:val="0"/>
          <w:numId w:val="26"/>
        </w:numPr>
        <w:spacing w:after="0" w:line="240" w:lineRule="auto"/>
      </w:pPr>
      <w:r>
        <w:t>3.</w:t>
      </w:r>
      <w:r w:rsidR="004E69C1" w:rsidRPr="004E69C1">
        <w:t xml:space="preserve">071 </w:t>
      </w:r>
      <w:r>
        <w:t>b</w:t>
      </w:r>
      <w:r w:rsidR="004E69C1" w:rsidRPr="004E69C1">
        <w:t xml:space="preserve">illion </w:t>
      </w:r>
      <w:r w:rsidR="004E69C1">
        <w:t xml:space="preserve">- </w:t>
      </w:r>
      <w:r w:rsidR="004E69C1" w:rsidRPr="004E69C1">
        <w:t>estimated active recreati</w:t>
      </w:r>
      <w:r w:rsidR="004E69C1">
        <w:t>on METS by Victorians aged 15+</w:t>
      </w:r>
    </w:p>
    <w:p w:rsidR="004E69C1" w:rsidRDefault="004E69C1" w:rsidP="004E69C1">
      <w:pPr>
        <w:pStyle w:val="ListParagraph"/>
        <w:keepLines w:val="0"/>
        <w:numPr>
          <w:ilvl w:val="0"/>
          <w:numId w:val="26"/>
        </w:numPr>
        <w:spacing w:after="0" w:line="240" w:lineRule="auto"/>
      </w:pPr>
      <w:r>
        <w:t>81 per cent</w:t>
      </w:r>
      <w:r w:rsidRPr="004E69C1">
        <w:t xml:space="preserve"> of physical recreation time spent on active rec</w:t>
      </w:r>
      <w:r>
        <w:t>reation by Victorians aged 15+</w:t>
      </w:r>
    </w:p>
    <w:p w:rsidR="004E69C1" w:rsidRDefault="004E69C1" w:rsidP="004E69C1">
      <w:pPr>
        <w:pStyle w:val="ListParagraph"/>
        <w:keepLines w:val="0"/>
        <w:numPr>
          <w:ilvl w:val="0"/>
          <w:numId w:val="26"/>
        </w:numPr>
        <w:spacing w:after="0" w:line="240" w:lineRule="auto"/>
      </w:pPr>
      <w:r w:rsidRPr="004E69C1">
        <w:t>74</w:t>
      </w:r>
      <w:r>
        <w:t xml:space="preserve"> per cent</w:t>
      </w:r>
      <w:r w:rsidRPr="004E69C1">
        <w:t xml:space="preserve"> of physical recreation METS from active rec</w:t>
      </w:r>
      <w:r>
        <w:t>reation by Victorians aged 15+</w:t>
      </w:r>
    </w:p>
    <w:p w:rsidR="004E69C1" w:rsidRDefault="004E69C1" w:rsidP="004E69C1">
      <w:pPr>
        <w:pStyle w:val="ListParagraph"/>
        <w:keepLines w:val="0"/>
        <w:numPr>
          <w:ilvl w:val="0"/>
          <w:numId w:val="26"/>
        </w:numPr>
        <w:spacing w:after="0" w:line="240" w:lineRule="auto"/>
      </w:pPr>
      <w:r w:rsidRPr="004E69C1">
        <w:t>37</w:t>
      </w:r>
      <w:r>
        <w:t xml:space="preserve"> per cent</w:t>
      </w:r>
      <w:r w:rsidRPr="004E69C1">
        <w:t xml:space="preserve"> total physical activity hours spent walking - Victorians’</w:t>
      </w:r>
      <w:r>
        <w:t xml:space="preserve"> most popular physical activity</w:t>
      </w:r>
    </w:p>
    <w:p w:rsidR="004E69C1" w:rsidRDefault="004E69C1" w:rsidP="004E69C1">
      <w:pPr>
        <w:pStyle w:val="ListParagraph"/>
        <w:keepLines w:val="0"/>
        <w:numPr>
          <w:ilvl w:val="0"/>
          <w:numId w:val="26"/>
        </w:numPr>
        <w:spacing w:after="0" w:line="240" w:lineRule="auto"/>
      </w:pPr>
      <w:r w:rsidRPr="004E69C1">
        <w:t>$8.3 billion estimated total</w:t>
      </w:r>
      <w:r>
        <w:t xml:space="preserve"> spending on active recreation</w:t>
      </w:r>
    </w:p>
    <w:p w:rsidR="004E69C1" w:rsidRDefault="004E69C1" w:rsidP="004E69C1">
      <w:pPr>
        <w:pStyle w:val="ListParagraph"/>
        <w:keepLines w:val="0"/>
        <w:numPr>
          <w:ilvl w:val="0"/>
          <w:numId w:val="26"/>
        </w:numPr>
        <w:spacing w:after="0" w:line="240" w:lineRule="auto"/>
      </w:pPr>
      <w:r w:rsidRPr="004E69C1">
        <w:t>51,000 full-time equivalent jobs att</w:t>
      </w:r>
      <w:r>
        <w:t>ributable to active recreation</w:t>
      </w:r>
    </w:p>
    <w:p w:rsidR="004E69C1" w:rsidRDefault="004E69C1" w:rsidP="004E69C1">
      <w:pPr>
        <w:pStyle w:val="ListParagraph"/>
        <w:keepLines w:val="0"/>
        <w:numPr>
          <w:ilvl w:val="0"/>
          <w:numId w:val="26"/>
        </w:numPr>
        <w:spacing w:after="0" w:line="240" w:lineRule="auto"/>
      </w:pPr>
      <w:r w:rsidRPr="004E69C1">
        <w:t>$5.2 billion estimated gross value add attributable to activ</w:t>
      </w:r>
      <w:r>
        <w:t>e recreation</w:t>
      </w:r>
    </w:p>
    <w:p w:rsidR="004E69C1" w:rsidRDefault="004E69C1" w:rsidP="004E69C1">
      <w:pPr>
        <w:pStyle w:val="ListParagraph"/>
        <w:keepLines w:val="0"/>
        <w:numPr>
          <w:ilvl w:val="0"/>
          <w:numId w:val="26"/>
        </w:numPr>
        <w:spacing w:after="0" w:line="240" w:lineRule="auto"/>
      </w:pPr>
      <w:r w:rsidRPr="004E69C1">
        <w:t>$245 million lifetime avoided healthcare costs from making physica</w:t>
      </w:r>
      <w:r>
        <w:t>lly inactive Victorians active</w:t>
      </w:r>
    </w:p>
    <w:p w:rsidR="004E69C1" w:rsidRDefault="004E69C1" w:rsidP="004E69C1">
      <w:pPr>
        <w:pStyle w:val="ListParagraph"/>
        <w:keepLines w:val="0"/>
        <w:numPr>
          <w:ilvl w:val="0"/>
          <w:numId w:val="26"/>
        </w:numPr>
        <w:spacing w:after="0" w:line="240" w:lineRule="auto"/>
      </w:pPr>
      <w:r w:rsidRPr="004E69C1">
        <w:t>$3.1 billion lifetime workplace productivity impact from making physica</w:t>
      </w:r>
      <w:r>
        <w:t>lly inactive Victorians active</w:t>
      </w:r>
    </w:p>
    <w:p w:rsidR="004E69C1" w:rsidRDefault="004E69C1" w:rsidP="00E20E7D">
      <w:pPr>
        <w:pStyle w:val="ListParagraph"/>
        <w:keepLines w:val="0"/>
        <w:numPr>
          <w:ilvl w:val="0"/>
          <w:numId w:val="26"/>
        </w:numPr>
        <w:spacing w:after="0" w:line="240" w:lineRule="auto"/>
      </w:pPr>
      <w:r w:rsidRPr="004E69C1">
        <w:t>2.85 million Victorians not doing enough physical activity.</w:t>
      </w:r>
    </w:p>
    <w:p w:rsidR="000F6BAD" w:rsidRDefault="000F6BAD">
      <w:pPr>
        <w:keepLines w:val="0"/>
        <w:spacing w:after="0" w:line="240" w:lineRule="auto"/>
      </w:pPr>
    </w:p>
    <w:p w:rsidR="009779D7" w:rsidRPr="00E20E7D" w:rsidRDefault="009779D7" w:rsidP="00E20E7D">
      <w:pPr>
        <w:pStyle w:val="Caption"/>
      </w:pPr>
      <w:r w:rsidRPr="00E20E7D">
        <w:t>Figure 2: Economic and welfare contributions of active recreation to Victoria</w:t>
      </w:r>
    </w:p>
    <w:p w:rsidR="00E20CED" w:rsidRDefault="00E20CED" w:rsidP="009779D7">
      <w:pPr>
        <w:keepLines w:val="0"/>
        <w:spacing w:after="0" w:line="240" w:lineRule="auto"/>
      </w:pPr>
      <w:r>
        <w:t>C</w:t>
      </w:r>
      <w:r w:rsidR="009779D7">
        <w:t>ategories that support</w:t>
      </w:r>
      <w:r>
        <w:t xml:space="preserve"> active recreation in Victoria</w:t>
      </w:r>
      <w:r w:rsidR="009779D7">
        <w:t xml:space="preserve">: </w:t>
      </w:r>
    </w:p>
    <w:p w:rsidR="00E20CED" w:rsidRDefault="009779D7" w:rsidP="00E20CED">
      <w:pPr>
        <w:pStyle w:val="ListParagraph"/>
        <w:keepLines w:val="0"/>
        <w:numPr>
          <w:ilvl w:val="0"/>
          <w:numId w:val="28"/>
        </w:numPr>
        <w:spacing w:after="0" w:line="240" w:lineRule="auto"/>
      </w:pPr>
      <w:r>
        <w:t>Built infrastructure that supports active recreation.</w:t>
      </w:r>
      <w:r w:rsidR="00E20CED">
        <w:t xml:space="preserve"> This is purpose built only</w:t>
      </w:r>
    </w:p>
    <w:p w:rsidR="00E20CED" w:rsidRDefault="009779D7" w:rsidP="00E20CED">
      <w:pPr>
        <w:pStyle w:val="ListParagraph"/>
        <w:keepLines w:val="0"/>
        <w:numPr>
          <w:ilvl w:val="0"/>
          <w:numId w:val="28"/>
        </w:numPr>
        <w:spacing w:after="0" w:line="240" w:lineRule="auto"/>
      </w:pPr>
      <w:r>
        <w:t>Other infrastructure policies, programs; 3. Natural infrastructure. Land and water a</w:t>
      </w:r>
      <w:r w:rsidR="00E20CED">
        <w:t>ssets where activity occurs</w:t>
      </w:r>
    </w:p>
    <w:p w:rsidR="00E20CED" w:rsidRDefault="009779D7" w:rsidP="00E20CED">
      <w:pPr>
        <w:pStyle w:val="ListParagraph"/>
        <w:keepLines w:val="0"/>
        <w:numPr>
          <w:ilvl w:val="0"/>
          <w:numId w:val="28"/>
        </w:numPr>
        <w:spacing w:after="0" w:line="240" w:lineRule="auto"/>
      </w:pPr>
      <w:r>
        <w:t>Active recreation training. Vocational training + client training</w:t>
      </w:r>
    </w:p>
    <w:p w:rsidR="00E20CED" w:rsidRDefault="009779D7" w:rsidP="00E20CED">
      <w:pPr>
        <w:pStyle w:val="ListParagraph"/>
        <w:keepLines w:val="0"/>
        <w:numPr>
          <w:ilvl w:val="0"/>
          <w:numId w:val="28"/>
        </w:numPr>
        <w:spacing w:after="0" w:line="240" w:lineRule="auto"/>
      </w:pPr>
      <w:r>
        <w:t>Active recreation product sales. Apparel, footwear, equipment, vehicles, accessories, services</w:t>
      </w:r>
    </w:p>
    <w:p w:rsidR="00E20CED" w:rsidRDefault="009779D7" w:rsidP="00E20CED">
      <w:pPr>
        <w:pStyle w:val="ListParagraph"/>
        <w:keepLines w:val="0"/>
        <w:numPr>
          <w:ilvl w:val="0"/>
          <w:numId w:val="28"/>
        </w:numPr>
        <w:spacing w:after="0" w:line="240" w:lineRule="auto"/>
      </w:pPr>
      <w:r>
        <w:t>Day and overnight local participation</w:t>
      </w:r>
    </w:p>
    <w:p w:rsidR="009779D7" w:rsidRDefault="009779D7" w:rsidP="00E20CED">
      <w:pPr>
        <w:pStyle w:val="ListParagraph"/>
        <w:keepLines w:val="0"/>
        <w:numPr>
          <w:ilvl w:val="0"/>
          <w:numId w:val="28"/>
        </w:numPr>
        <w:spacing w:after="0" w:line="240" w:lineRule="auto"/>
      </w:pPr>
      <w:r>
        <w:t>Day and overnight non-local participation.</w:t>
      </w:r>
    </w:p>
    <w:p w:rsidR="00E20CED" w:rsidRDefault="00E20CED" w:rsidP="009779D7">
      <w:pPr>
        <w:keepLines w:val="0"/>
        <w:spacing w:after="0" w:line="240" w:lineRule="auto"/>
      </w:pPr>
    </w:p>
    <w:p w:rsidR="009779D7" w:rsidRDefault="009779D7" w:rsidP="009779D7">
      <w:pPr>
        <w:keepLines w:val="0"/>
        <w:spacing w:after="0" w:line="240" w:lineRule="auto"/>
      </w:pPr>
      <w:r>
        <w:t xml:space="preserve">Organised and unorganised participation index (days x duration x intensity) and Expenditure profiles generate Welfare Impacts and Total Expenditures. </w:t>
      </w:r>
    </w:p>
    <w:p w:rsidR="00E20CED" w:rsidRDefault="00E20CED" w:rsidP="009779D7">
      <w:pPr>
        <w:keepLines w:val="0"/>
        <w:spacing w:after="0" w:line="240" w:lineRule="auto"/>
      </w:pPr>
    </w:p>
    <w:p w:rsidR="00E20CED" w:rsidRDefault="009779D7" w:rsidP="009779D7">
      <w:pPr>
        <w:keepLines w:val="0"/>
        <w:spacing w:after="0" w:line="240" w:lineRule="auto"/>
      </w:pPr>
      <w:r>
        <w:t>Welfare Impacts are broken out into</w:t>
      </w:r>
      <w:r w:rsidR="00E20CED">
        <w:t>:</w:t>
      </w:r>
    </w:p>
    <w:p w:rsidR="00E20CED" w:rsidRDefault="009779D7" w:rsidP="00E20CED">
      <w:pPr>
        <w:pStyle w:val="ListParagraph"/>
        <w:keepLines w:val="0"/>
        <w:numPr>
          <w:ilvl w:val="0"/>
          <w:numId w:val="29"/>
        </w:numPr>
        <w:spacing w:after="0" w:line="240" w:lineRule="auto"/>
      </w:pPr>
      <w:r>
        <w:t>Avoided healthcare costs. Healthcare costs attributable to physical inactivity estimated using a population attributa</w:t>
      </w:r>
      <w:r w:rsidR="00E20CED">
        <w:t>ble fraction (PAF) approach</w:t>
      </w:r>
    </w:p>
    <w:p w:rsidR="00E20CED" w:rsidRDefault="009779D7" w:rsidP="00E20CED">
      <w:pPr>
        <w:pStyle w:val="ListParagraph"/>
        <w:keepLines w:val="0"/>
        <w:numPr>
          <w:ilvl w:val="0"/>
          <w:numId w:val="29"/>
        </w:numPr>
        <w:spacing w:after="0" w:line="240" w:lineRule="auto"/>
      </w:pPr>
      <w:r>
        <w:t>Productivity impact. Production losses due to deaths and illness using a PAF approach</w:t>
      </w:r>
    </w:p>
    <w:p w:rsidR="009779D7" w:rsidRDefault="009779D7" w:rsidP="00E20CED">
      <w:pPr>
        <w:pStyle w:val="ListParagraph"/>
        <w:keepLines w:val="0"/>
        <w:numPr>
          <w:ilvl w:val="0"/>
          <w:numId w:val="29"/>
        </w:numPr>
        <w:spacing w:after="0" w:line="240" w:lineRule="auto"/>
      </w:pPr>
      <w:r>
        <w:t>Lifetime disease burden. Estimated lifetime disease burden using Disability Adjusted Life Years (DALYs), which sum the years of life lost due to premature mortality (years of life lost, or YLLs) and to morbidity or disability while alive (years lost due to disability, or YLDs).</w:t>
      </w:r>
    </w:p>
    <w:p w:rsidR="00E20CED" w:rsidRDefault="00E20CED" w:rsidP="009779D7">
      <w:pPr>
        <w:keepLines w:val="0"/>
        <w:spacing w:after="0" w:line="240" w:lineRule="auto"/>
      </w:pPr>
    </w:p>
    <w:p w:rsidR="004E69C1" w:rsidRDefault="009779D7" w:rsidP="009779D7">
      <w:pPr>
        <w:keepLines w:val="0"/>
        <w:spacing w:after="0" w:line="240" w:lineRule="auto"/>
      </w:pPr>
      <w:r>
        <w:t xml:space="preserve">Total Expenditures result in Economic Impacts of </w:t>
      </w:r>
      <w:r w:rsidR="00E20CED">
        <w:t>e</w:t>
      </w:r>
      <w:r>
        <w:t>conomic output, value add and employment. These combine with the Welfare Impacts to produce the overall economic impact.</w:t>
      </w:r>
      <w:r w:rsidR="004E69C1">
        <w:br w:type="page"/>
      </w:r>
    </w:p>
    <w:p w:rsidR="0023082F" w:rsidRPr="00500F57" w:rsidRDefault="0023082F" w:rsidP="002F27A9">
      <w:r w:rsidRPr="00500F57">
        <w:lastRenderedPageBreak/>
        <w:t>Marsden Jacob Associates</w:t>
      </w:r>
      <w:r w:rsidR="00EA493A">
        <w:br/>
      </w:r>
      <w:r w:rsidRPr="00500F57">
        <w:t>Financial &amp; Economic Consultants</w:t>
      </w:r>
    </w:p>
    <w:p w:rsidR="0023082F" w:rsidRPr="00500F57" w:rsidRDefault="0023082F" w:rsidP="002F27A9">
      <w:r w:rsidRPr="00500F57">
        <w:t>ABN 66 663 324 657</w:t>
      </w:r>
      <w:r w:rsidR="00EA493A">
        <w:br/>
      </w:r>
      <w:r w:rsidRPr="00500F57">
        <w:t>ACN 072 233 204</w:t>
      </w:r>
    </w:p>
    <w:p w:rsidR="0023082F" w:rsidRPr="00500F57" w:rsidRDefault="0023082F" w:rsidP="002F27A9">
      <w:r w:rsidRPr="00500F57">
        <w:t>Internet:</w:t>
      </w:r>
      <w:r w:rsidR="00EA493A">
        <w:t xml:space="preserve"> </w:t>
      </w:r>
      <w:hyperlink r:id="rId14" w:history="1">
        <w:r w:rsidR="00EA493A" w:rsidRPr="00EA493A">
          <w:rPr>
            <w:rStyle w:val="Hyperlink"/>
          </w:rPr>
          <w:t>Marsden Jacob Associates</w:t>
        </w:r>
      </w:hyperlink>
      <w:r w:rsidR="00EA493A">
        <w:t xml:space="preserve"> &lt;</w:t>
      </w:r>
      <w:r w:rsidRPr="00500F57">
        <w:t>http://www.marsdenjacob.com.au</w:t>
      </w:r>
      <w:r w:rsidR="00EA493A">
        <w:t>&gt;</w:t>
      </w:r>
    </w:p>
    <w:p w:rsidR="00D55005" w:rsidRPr="00500F57" w:rsidRDefault="00670BA2" w:rsidP="002F27A9">
      <w:hyperlink r:id="rId15" w:history="1">
        <w:r w:rsidR="0023082F" w:rsidRPr="00EA493A">
          <w:rPr>
            <w:rStyle w:val="Hyperlink"/>
          </w:rPr>
          <w:t>E-mail</w:t>
        </w:r>
        <w:r w:rsidR="00EA493A" w:rsidRPr="00EA493A">
          <w:rPr>
            <w:rStyle w:val="Hyperlink"/>
          </w:rPr>
          <w:t xml:space="preserve"> Marsden Jacob Associates</w:t>
        </w:r>
      </w:hyperlink>
      <w:r w:rsidR="00EA493A">
        <w:t xml:space="preserve"> &lt;</w:t>
      </w:r>
      <w:r w:rsidR="0023082F" w:rsidRPr="00500F57">
        <w:t>economists@marsdenjacob.com.au</w:t>
      </w:r>
      <w:r w:rsidR="00EA493A">
        <w:t>&gt;</w:t>
      </w:r>
    </w:p>
    <w:p w:rsidR="008F47EF" w:rsidRPr="00500F57" w:rsidRDefault="008F47EF" w:rsidP="002F27A9">
      <w:r w:rsidRPr="00500F57">
        <w:t>Authors:</w:t>
      </w:r>
      <w:r w:rsidR="00D55005" w:rsidRPr="00500F57">
        <w:t xml:space="preserve"> </w:t>
      </w:r>
      <w:r w:rsidRPr="00500F57">
        <w:t xml:space="preserve">Jeremy </w:t>
      </w:r>
      <w:proofErr w:type="spellStart"/>
      <w:r w:rsidRPr="00500F57">
        <w:t>Cheesman</w:t>
      </w:r>
      <w:proofErr w:type="spellEnd"/>
      <w:r w:rsidRPr="00500F57">
        <w:t>, Philip Jones</w:t>
      </w:r>
    </w:p>
    <w:p w:rsidR="0023082F" w:rsidRPr="00AE1C5C" w:rsidRDefault="0023082F" w:rsidP="002F27A9">
      <w:pPr>
        <w:spacing w:after="120"/>
        <w:rPr>
          <w:b/>
        </w:rPr>
      </w:pPr>
      <w:r w:rsidRPr="00AE1C5C">
        <w:rPr>
          <w:b/>
        </w:rPr>
        <w:t>Melbourne office:</w:t>
      </w:r>
    </w:p>
    <w:p w:rsidR="0023082F" w:rsidRPr="00500F57" w:rsidRDefault="0023082F" w:rsidP="002F27A9">
      <w:r w:rsidRPr="00500F57">
        <w:t>Postal address: Level 3, 683 Burke Road, Camberwell</w:t>
      </w:r>
      <w:r w:rsidR="00EA493A">
        <w:br/>
      </w:r>
      <w:r w:rsidRPr="00500F57">
        <w:t>Victoria 3124 AUSTRALIA</w:t>
      </w:r>
      <w:r w:rsidR="00EA493A">
        <w:br/>
      </w:r>
      <w:r w:rsidRPr="00500F57">
        <w:t>Telephone: +61 3 9882 1600</w:t>
      </w:r>
      <w:r w:rsidR="00EA493A">
        <w:br/>
      </w:r>
      <w:r w:rsidRPr="00500F57">
        <w:t>Facsimile: +61 3 9882 1300</w:t>
      </w:r>
    </w:p>
    <w:p w:rsidR="0023082F" w:rsidRPr="00AE1C5C" w:rsidRDefault="0023082F" w:rsidP="002F27A9">
      <w:pPr>
        <w:spacing w:after="120"/>
        <w:rPr>
          <w:b/>
        </w:rPr>
      </w:pPr>
      <w:r w:rsidRPr="00AE1C5C">
        <w:rPr>
          <w:b/>
        </w:rPr>
        <w:t>Perth office:</w:t>
      </w:r>
    </w:p>
    <w:p w:rsidR="0023082F" w:rsidRPr="00500F57" w:rsidRDefault="0023082F" w:rsidP="002F27A9">
      <w:r w:rsidRPr="00500F57">
        <w:t>Level 1, 220 St Georges Terrace, Perth</w:t>
      </w:r>
      <w:r w:rsidR="00EA493A">
        <w:br/>
      </w:r>
      <w:r w:rsidRPr="00500F57">
        <w:t>Western Australia, 6000 AUSTRALIA</w:t>
      </w:r>
      <w:r w:rsidR="00EA493A">
        <w:br/>
      </w:r>
      <w:r w:rsidRPr="00500F57">
        <w:t>Telephone: +61 8 9324 1785</w:t>
      </w:r>
      <w:r w:rsidR="00EA493A">
        <w:br/>
      </w:r>
      <w:r w:rsidRPr="00500F57">
        <w:t>Facsimile: +61 8 9322 7936</w:t>
      </w:r>
    </w:p>
    <w:p w:rsidR="0023082F" w:rsidRPr="00AE1C5C" w:rsidRDefault="0023082F" w:rsidP="002F27A9">
      <w:pPr>
        <w:spacing w:after="120"/>
        <w:rPr>
          <w:b/>
        </w:rPr>
      </w:pPr>
      <w:r w:rsidRPr="00AE1C5C">
        <w:rPr>
          <w:b/>
        </w:rPr>
        <w:t>Sydney office:</w:t>
      </w:r>
    </w:p>
    <w:p w:rsidR="0023082F" w:rsidRPr="00500F57" w:rsidRDefault="0023082F" w:rsidP="002F27A9">
      <w:r w:rsidRPr="00500F57">
        <w:t xml:space="preserve">Rod </w:t>
      </w:r>
      <w:proofErr w:type="spellStart"/>
      <w:r w:rsidRPr="00500F57">
        <w:t>Carr</w:t>
      </w:r>
      <w:proofErr w:type="spellEnd"/>
      <w:r w:rsidR="00EA493A">
        <w:br/>
      </w:r>
      <w:r w:rsidRPr="00500F57">
        <w:t>Telepho</w:t>
      </w:r>
      <w:r w:rsidR="008F47EF" w:rsidRPr="00500F57">
        <w:t xml:space="preserve">ne: +61 418 765 </w:t>
      </w:r>
      <w:r w:rsidRPr="00500F57">
        <w:t>393</w:t>
      </w:r>
    </w:p>
    <w:sectPr w:rsidR="0023082F" w:rsidRPr="00500F57" w:rsidSect="007C0708">
      <w:type w:val="continuous"/>
      <w:pgSz w:w="16839" w:h="11907" w:orient="landscape" w:code="9"/>
      <w:pgMar w:top="1560" w:right="1134" w:bottom="709" w:left="1134" w:header="885" w:footer="176" w:gutter="0"/>
      <w:cols w:space="609"/>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F6" w:rsidRDefault="00737DF6" w:rsidP="00F90D20">
      <w:r>
        <w:separator/>
      </w:r>
    </w:p>
  </w:endnote>
  <w:endnote w:type="continuationSeparator" w:id="0">
    <w:p w:rsidR="00737DF6" w:rsidRDefault="00737DF6" w:rsidP="00F90D20">
      <w:r>
        <w:continuationSeparator/>
      </w:r>
    </w:p>
  </w:endnote>
  <w:endnote w:type="continuationNotice" w:id="1">
    <w:p w:rsidR="00737DF6" w:rsidRDefault="00737DF6" w:rsidP="00F90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E10002FF" w:usb1="5000ECFF" w:usb2="00000021" w:usb3="00000000" w:csb0="0000019F" w:csb1="00000000"/>
  </w:font>
  <w:font w:name="Lato Light">
    <w:altName w:val="Calibri"/>
    <w:charset w:val="00"/>
    <w:family w:val="swiss"/>
    <w:pitch w:val="variable"/>
    <w:sig w:usb0="E10002FF" w:usb1="5000ECFF" w:usb2="00000021" w:usb3="00000000" w:csb0="0000019F" w:csb1="00000000"/>
  </w:font>
  <w:font w:name="Lato Black">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mago Light">
    <w:altName w:val="Calibri"/>
    <w:panose1 w:val="00000000000000000000"/>
    <w:charset w:val="00"/>
    <w:family w:val="swiss"/>
    <w:notTrueType/>
    <w:pitch w:val="default"/>
    <w:sig w:usb0="00000003" w:usb1="00000000" w:usb2="00000000" w:usb3="00000000" w:csb0="00000001" w:csb1="00000000"/>
  </w:font>
  <w:font w:name="Whitney Book">
    <w:altName w:val="Whitney Book"/>
    <w:panose1 w:val="00000000000000000000"/>
    <w:charset w:val="00"/>
    <w:family w:val="swiss"/>
    <w:notTrueType/>
    <w:pitch w:val="default"/>
    <w:sig w:usb0="00000003" w:usb1="00000000" w:usb2="00000000" w:usb3="00000000" w:csb0="00000001" w:csb1="00000000"/>
  </w:font>
  <w:font w:name="Verlag Light">
    <w:altName w:val="Verlag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F6" w:rsidRDefault="00737DF6" w:rsidP="002F27A9">
    <w:pPr>
      <w:tabs>
        <w:tab w:val="left" w:pos="2400"/>
      </w:tabs>
    </w:pPr>
    <w:r>
      <w:fldChar w:fldCharType="begin"/>
    </w:r>
    <w:r>
      <w:instrText xml:space="preserve"> PAGE   \* MERGEFORMAT </w:instrText>
    </w:r>
    <w:r>
      <w:fldChar w:fldCharType="separate"/>
    </w:r>
    <w:r w:rsidR="00670BA2">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F6" w:rsidRDefault="00737DF6" w:rsidP="00F90D20">
      <w:r>
        <w:separator/>
      </w:r>
    </w:p>
  </w:footnote>
  <w:footnote w:type="continuationSeparator" w:id="0">
    <w:p w:rsidR="00737DF6" w:rsidRDefault="00737DF6" w:rsidP="00F90D20">
      <w:r>
        <w:continuationSeparator/>
      </w:r>
    </w:p>
  </w:footnote>
  <w:footnote w:type="continuationNotice" w:id="1">
    <w:p w:rsidR="00737DF6" w:rsidRDefault="00737DF6" w:rsidP="00F90D20"/>
  </w:footnote>
  <w:footnote w:id="2">
    <w:p w:rsidR="00737DF6" w:rsidRPr="00F861A3" w:rsidRDefault="00737DF6" w:rsidP="00F90D20">
      <w:pPr>
        <w:pStyle w:val="FootnoteText"/>
        <w:rPr>
          <w:sz w:val="16"/>
          <w:szCs w:val="16"/>
        </w:rPr>
      </w:pPr>
      <w:r w:rsidRPr="00F861A3">
        <w:rPr>
          <w:rStyle w:val="FootnoteReference"/>
          <w:sz w:val="16"/>
          <w:szCs w:val="16"/>
        </w:rPr>
        <w:footnoteRef/>
      </w:r>
      <w:r w:rsidRPr="00F861A3">
        <w:rPr>
          <w:sz w:val="16"/>
          <w:szCs w:val="16"/>
        </w:rPr>
        <w:t xml:space="preserve"> </w:t>
      </w:r>
      <w:r w:rsidRPr="00F861A3">
        <w:rPr>
          <w:sz w:val="16"/>
          <w:szCs w:val="16"/>
        </w:rPr>
        <w:tab/>
      </w:r>
      <w:proofErr w:type="spellStart"/>
      <w:r w:rsidRPr="00F861A3">
        <w:rPr>
          <w:sz w:val="16"/>
          <w:szCs w:val="16"/>
        </w:rPr>
        <w:t>Presenteeism</w:t>
      </w:r>
      <w:proofErr w:type="spellEnd"/>
      <w:r w:rsidRPr="00F861A3">
        <w:rPr>
          <w:sz w:val="16"/>
          <w:szCs w:val="16"/>
        </w:rPr>
        <w:t xml:space="preserve"> is lost productivity that occurs when employees come to work but do not function at their full capacity because of illness or other factors.</w:t>
      </w:r>
    </w:p>
  </w:footnote>
  <w:footnote w:id="3">
    <w:p w:rsidR="00737DF6" w:rsidRPr="006119E4" w:rsidRDefault="00737DF6" w:rsidP="00F90D20">
      <w:pPr>
        <w:pStyle w:val="FootnoteText"/>
      </w:pPr>
      <w:r w:rsidRPr="00F861A3">
        <w:rPr>
          <w:rStyle w:val="FootnoteReference"/>
          <w:sz w:val="16"/>
          <w:szCs w:val="16"/>
        </w:rPr>
        <w:footnoteRef/>
      </w:r>
      <w:r w:rsidRPr="00F861A3">
        <w:rPr>
          <w:sz w:val="16"/>
          <w:szCs w:val="16"/>
        </w:rPr>
        <w:tab/>
        <w:t>Disability-adjusted life years</w:t>
      </w:r>
      <w:r w:rsidRPr="00F861A3">
        <w:rPr>
          <w:rStyle w:val="tgc"/>
          <w:b/>
          <w:sz w:val="16"/>
          <w:szCs w:val="16"/>
        </w:rPr>
        <w:t xml:space="preserve"> </w:t>
      </w:r>
      <w:r w:rsidRPr="00F861A3">
        <w:rPr>
          <w:rStyle w:val="tgc"/>
          <w:sz w:val="16"/>
          <w:szCs w:val="16"/>
        </w:rPr>
        <w:t xml:space="preserve">(DALYs) are a measure of overall disease burden, expressed as the number of </w:t>
      </w:r>
      <w:r w:rsidRPr="00F861A3">
        <w:rPr>
          <w:rStyle w:val="tgc"/>
          <w:bCs/>
          <w:sz w:val="16"/>
          <w:szCs w:val="16"/>
        </w:rPr>
        <w:t>years</w:t>
      </w:r>
      <w:r w:rsidRPr="00F861A3">
        <w:rPr>
          <w:rStyle w:val="tgc"/>
          <w:sz w:val="16"/>
          <w:szCs w:val="16"/>
        </w:rPr>
        <w:t xml:space="preserve"> of healthy life lost due to ill-health, </w:t>
      </w:r>
      <w:r w:rsidRPr="00F861A3">
        <w:rPr>
          <w:rStyle w:val="tgc"/>
          <w:bCs/>
          <w:sz w:val="16"/>
          <w:szCs w:val="16"/>
        </w:rPr>
        <w:t>disability</w:t>
      </w:r>
      <w:r w:rsidRPr="00F861A3">
        <w:rPr>
          <w:rStyle w:val="tgc"/>
          <w:sz w:val="16"/>
          <w:szCs w:val="16"/>
        </w:rPr>
        <w:t xml:space="preserve"> or early death.</w:t>
      </w:r>
    </w:p>
  </w:footnote>
  <w:footnote w:id="4">
    <w:p w:rsidR="00737DF6" w:rsidRPr="009F0FF4" w:rsidRDefault="00737DF6" w:rsidP="004E7708">
      <w:pPr>
        <w:pStyle w:val="FootnoteText"/>
        <w:ind w:left="426" w:hanging="397"/>
        <w:rPr>
          <w:sz w:val="16"/>
          <w:szCs w:val="16"/>
        </w:rPr>
      </w:pPr>
      <w:r w:rsidRPr="00F861A3">
        <w:rPr>
          <w:rStyle w:val="FootnoteReference"/>
          <w:sz w:val="16"/>
          <w:szCs w:val="16"/>
        </w:rPr>
        <w:footnoteRef/>
      </w:r>
      <w:r w:rsidRPr="00F861A3">
        <w:rPr>
          <w:sz w:val="16"/>
          <w:szCs w:val="16"/>
        </w:rPr>
        <w:t xml:space="preserve">  </w:t>
      </w:r>
      <w:r w:rsidRPr="00F861A3">
        <w:rPr>
          <w:sz w:val="16"/>
          <w:szCs w:val="16"/>
        </w:rPr>
        <w:tab/>
        <w:t>Metabolic equivalent of task (MET) is a physiological measure expressing the energy cost (or calories) of physical activities. One MET is equivalent to the energy expended by a person while seated at rest. While a person is exercising, the MET is the energy expended compared to that expended at rest, so MET values indicate the intensity of the activity. A person engaging in an activity with a MET value of 5 is expending five times the energy (the number of calories) that they would expend at rest.</w:t>
      </w:r>
    </w:p>
  </w:footnote>
  <w:footnote w:id="5">
    <w:p w:rsidR="00737DF6" w:rsidRPr="00F861A3" w:rsidRDefault="00737DF6" w:rsidP="005A7653">
      <w:pPr>
        <w:pStyle w:val="FootnoteText"/>
        <w:tabs>
          <w:tab w:val="clear" w:pos="397"/>
          <w:tab w:val="left" w:pos="284"/>
        </w:tabs>
        <w:ind w:left="284"/>
        <w:rPr>
          <w:sz w:val="16"/>
          <w:szCs w:val="16"/>
        </w:rPr>
      </w:pPr>
      <w:r w:rsidRPr="00F861A3">
        <w:rPr>
          <w:rStyle w:val="FootnoteReference"/>
          <w:sz w:val="16"/>
          <w:szCs w:val="16"/>
        </w:rPr>
        <w:footnoteRef/>
      </w:r>
      <w:r w:rsidRPr="00F861A3">
        <w:rPr>
          <w:sz w:val="16"/>
          <w:szCs w:val="16"/>
        </w:rPr>
        <w:tab/>
        <w:t xml:space="preserve">Tourism is defined as domestic day and overnight visits. Day visitors are those people who travel for a round-trip distance of at least 50 kilometres and who do not spend a night away from home as part of their travel. Same-day travel as part of overnight travel is excluded. Overnight visitors are those who travel more than 50 kilometres and spend one or more nights away from home. These definitions are consistent with the definitions used by Tourism Research Australia (TRA). We have not included international visitors in this evaluation because to be able to attribute international tourism to active recreation, active recreation needs to be the primary purpose of the visit; in addition, it is challenging to identify active recreation at the regional level in TRA data for international visitors. </w:t>
      </w:r>
    </w:p>
  </w:footnote>
  <w:footnote w:id="6">
    <w:p w:rsidR="007C0708" w:rsidRDefault="007C0708" w:rsidP="005A7653">
      <w:pPr>
        <w:pStyle w:val="FootnoteText"/>
        <w:ind w:left="426" w:hanging="142"/>
      </w:pPr>
      <w:r>
        <w:rPr>
          <w:rStyle w:val="FootnoteReference"/>
        </w:rPr>
        <w:footnoteRef/>
      </w:r>
      <w:r>
        <w:t xml:space="preserve"> </w:t>
      </w:r>
      <w:r w:rsidRPr="007C0708">
        <w:t>Participation days are calc</w:t>
      </w:r>
      <w:r w:rsidR="005A7653">
        <w:t>ulated as (participation hours x</w:t>
      </w:r>
      <w:r w:rsidRPr="007C0708">
        <w:t xml:space="preserve"> 8). Participation hours are recorded only for the three main activities for each person. Where activities are significant on an annual basis but seasonal (such as sports), reported hours will be low in the off-season.</w:t>
      </w:r>
    </w:p>
  </w:footnote>
  <w:footnote w:id="7">
    <w:p w:rsidR="00737DF6" w:rsidRPr="00F861A3" w:rsidRDefault="00737DF6" w:rsidP="00F90D20">
      <w:pPr>
        <w:pStyle w:val="FootnoteText"/>
        <w:rPr>
          <w:sz w:val="16"/>
          <w:szCs w:val="16"/>
        </w:rPr>
      </w:pPr>
      <w:r w:rsidRPr="00F861A3">
        <w:rPr>
          <w:rStyle w:val="FootnoteReference"/>
          <w:sz w:val="16"/>
          <w:szCs w:val="16"/>
        </w:rPr>
        <w:footnoteRef/>
      </w:r>
      <w:r w:rsidRPr="00F861A3">
        <w:rPr>
          <w:sz w:val="16"/>
          <w:szCs w:val="16"/>
        </w:rPr>
        <w:t xml:space="preserve"> </w:t>
      </w:r>
      <w:r w:rsidRPr="00F861A3">
        <w:rPr>
          <w:sz w:val="16"/>
          <w:szCs w:val="16"/>
        </w:rPr>
        <w:tab/>
        <w:t xml:space="preserve">See VicHealth (2016) </w:t>
      </w:r>
      <w:sdt>
        <w:sdtPr>
          <w:rPr>
            <w:sz w:val="16"/>
            <w:szCs w:val="16"/>
          </w:rPr>
          <w:id w:val="-470743511"/>
          <w:citation/>
        </w:sdtPr>
        <w:sdtEndPr/>
        <w:sdtContent>
          <w:r w:rsidRPr="00F861A3">
            <w:rPr>
              <w:sz w:val="16"/>
              <w:szCs w:val="16"/>
            </w:rPr>
            <w:fldChar w:fldCharType="begin"/>
          </w:r>
          <w:r w:rsidRPr="00F861A3">
            <w:rPr>
              <w:sz w:val="16"/>
              <w:szCs w:val="16"/>
            </w:rPr>
            <w:instrText xml:space="preserve">CITATION Vic16 \n  \t  \l 3081 </w:instrText>
          </w:r>
          <w:r w:rsidRPr="00F861A3">
            <w:rPr>
              <w:sz w:val="16"/>
              <w:szCs w:val="16"/>
            </w:rPr>
            <w:fldChar w:fldCharType="separate"/>
          </w:r>
          <w:r w:rsidRPr="00F861A3">
            <w:rPr>
              <w:sz w:val="16"/>
              <w:szCs w:val="16"/>
            </w:rPr>
            <w:t>(2016)</w:t>
          </w:r>
          <w:r w:rsidRPr="00F861A3">
            <w:rPr>
              <w:sz w:val="16"/>
              <w:szCs w:val="16"/>
            </w:rPr>
            <w:fldChar w:fldCharType="end"/>
          </w:r>
        </w:sdtContent>
      </w:sdt>
      <w:r w:rsidRPr="00F861A3">
        <w:rPr>
          <w:sz w:val="16"/>
          <w:szCs w:val="16"/>
        </w:rPr>
        <w:t>for a summary of the contemporary literature.</w:t>
      </w:r>
    </w:p>
  </w:footnote>
  <w:footnote w:id="8">
    <w:p w:rsidR="00737DF6" w:rsidRPr="00F861A3" w:rsidRDefault="00737DF6" w:rsidP="00F90D20">
      <w:pPr>
        <w:pStyle w:val="FootnoteText"/>
        <w:rPr>
          <w:sz w:val="16"/>
          <w:szCs w:val="16"/>
        </w:rPr>
      </w:pPr>
      <w:r w:rsidRPr="00F861A3">
        <w:rPr>
          <w:rStyle w:val="FootnoteReference"/>
          <w:sz w:val="16"/>
          <w:szCs w:val="16"/>
        </w:rPr>
        <w:footnoteRef/>
      </w:r>
      <w:r w:rsidRPr="00F861A3">
        <w:rPr>
          <w:sz w:val="16"/>
          <w:szCs w:val="16"/>
        </w:rPr>
        <w:t xml:space="preserve"> </w:t>
      </w:r>
      <w:r w:rsidRPr="00F861A3">
        <w:rPr>
          <w:sz w:val="16"/>
          <w:szCs w:val="16"/>
        </w:rPr>
        <w:tab/>
      </w:r>
      <w:r w:rsidRPr="00F861A3">
        <w:rPr>
          <w:rStyle w:val="tgc"/>
          <w:sz w:val="16"/>
          <w:szCs w:val="16"/>
        </w:rPr>
        <w:t xml:space="preserve">DALYs are a measure of overall disease burden, expressed as the number of </w:t>
      </w:r>
      <w:r w:rsidRPr="00F861A3">
        <w:rPr>
          <w:rStyle w:val="tgc"/>
          <w:bCs/>
          <w:sz w:val="16"/>
          <w:szCs w:val="16"/>
        </w:rPr>
        <w:t>years</w:t>
      </w:r>
      <w:r w:rsidRPr="00F861A3">
        <w:rPr>
          <w:rStyle w:val="tgc"/>
          <w:sz w:val="16"/>
          <w:szCs w:val="16"/>
        </w:rPr>
        <w:t xml:space="preserve"> of healthy life lost due to ill-health, </w:t>
      </w:r>
      <w:r w:rsidRPr="00F861A3">
        <w:rPr>
          <w:rStyle w:val="tgc"/>
          <w:bCs/>
          <w:sz w:val="16"/>
          <w:szCs w:val="16"/>
        </w:rPr>
        <w:t>disability</w:t>
      </w:r>
      <w:r w:rsidRPr="00F861A3">
        <w:rPr>
          <w:rStyle w:val="tgc"/>
          <w:sz w:val="16"/>
          <w:szCs w:val="16"/>
        </w:rPr>
        <w:t xml:space="preserve"> or early death.</w:t>
      </w:r>
    </w:p>
  </w:footnote>
  <w:footnote w:id="9">
    <w:p w:rsidR="00737DF6" w:rsidRPr="00F861A3" w:rsidRDefault="00737DF6" w:rsidP="00317A4B">
      <w:pPr>
        <w:pStyle w:val="FootnoteText"/>
        <w:ind w:left="426" w:hanging="426"/>
        <w:rPr>
          <w:sz w:val="16"/>
          <w:szCs w:val="16"/>
        </w:rPr>
      </w:pPr>
      <w:r w:rsidRPr="00F861A3">
        <w:rPr>
          <w:rStyle w:val="FootnoteReference"/>
          <w:sz w:val="16"/>
          <w:szCs w:val="16"/>
        </w:rPr>
        <w:footnoteRef/>
      </w:r>
      <w:r w:rsidRPr="00F861A3">
        <w:rPr>
          <w:sz w:val="16"/>
          <w:szCs w:val="16"/>
        </w:rPr>
        <w:t xml:space="preserve">  </w:t>
      </w:r>
      <w:r w:rsidRPr="00F861A3">
        <w:rPr>
          <w:sz w:val="16"/>
          <w:szCs w:val="16"/>
        </w:rPr>
        <w:tab/>
        <w:t>Gross state product is the total market value of goods and services produced within Victoria, after deducting the cost of goods and services used up in the process of production but before deducting depreciation. The ABS calculates GSP by summing factor incomes (that is, compensation of employees, gross operating surplus and gross mixed income), plus taxes, less subsidies on production and imports (ABS, 2015). GSP per hour worked is a key indicator of labour productivity.</w:t>
      </w:r>
    </w:p>
  </w:footnote>
  <w:footnote w:id="10">
    <w:p w:rsidR="007C0708" w:rsidRDefault="007C0708" w:rsidP="007C0708">
      <w:pPr>
        <w:pStyle w:val="FootnoteText"/>
      </w:pPr>
      <w:r>
        <w:rPr>
          <w:rStyle w:val="FootnoteReference"/>
        </w:rPr>
        <w:footnoteRef/>
      </w:r>
      <w:r>
        <w:t xml:space="preserve"> </w:t>
      </w:r>
      <w:r w:rsidRPr="0034748A">
        <w:t>Using a 7 per cent discount rate.</w:t>
      </w:r>
    </w:p>
  </w:footnote>
  <w:footnote w:id="11">
    <w:p w:rsidR="00737DF6" w:rsidRPr="00F861A3" w:rsidRDefault="00737DF6" w:rsidP="00317A4B">
      <w:pPr>
        <w:pStyle w:val="FootnoteText"/>
        <w:ind w:left="142" w:hanging="142"/>
        <w:rPr>
          <w:sz w:val="16"/>
          <w:szCs w:val="16"/>
        </w:rPr>
      </w:pPr>
      <w:r w:rsidRPr="00F861A3">
        <w:rPr>
          <w:rStyle w:val="FootnoteReference"/>
          <w:sz w:val="16"/>
          <w:szCs w:val="16"/>
        </w:rPr>
        <w:footnoteRef/>
      </w:r>
      <w:r w:rsidRPr="00F861A3">
        <w:rPr>
          <w:sz w:val="16"/>
          <w:szCs w:val="16"/>
        </w:rPr>
        <w:t xml:space="preserve"> </w:t>
      </w:r>
      <w:r>
        <w:rPr>
          <w:sz w:val="16"/>
          <w:szCs w:val="16"/>
        </w:rPr>
        <w:t xml:space="preserve">Australian Government Australian Sports Commission </w:t>
      </w:r>
      <w:hyperlink r:id="rId1" w:history="1">
        <w:r w:rsidRPr="00317A4B">
          <w:rPr>
            <w:rStyle w:val="Hyperlink"/>
            <w:sz w:val="16"/>
            <w:szCs w:val="16"/>
          </w:rPr>
          <w:t>Exercise, Recreation and Sport Survey</w:t>
        </w:r>
      </w:hyperlink>
      <w:r>
        <w:rPr>
          <w:sz w:val="16"/>
          <w:szCs w:val="16"/>
        </w:rPr>
        <w:t xml:space="preserve"> &lt;</w:t>
      </w:r>
      <w:r w:rsidRPr="00F861A3">
        <w:rPr>
          <w:sz w:val="16"/>
          <w:szCs w:val="16"/>
        </w:rPr>
        <w:t>http://www.ausport.gov.au/information/casro/ERASS</w:t>
      </w:r>
      <w:r>
        <w:rPr>
          <w:sz w:val="16"/>
          <w:szCs w:val="16"/>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F6" w:rsidRDefault="00737DF6" w:rsidP="002F27A9">
    <w:pPr>
      <w:pStyle w:val="Header"/>
    </w:pPr>
    <w:r>
      <w:rPr>
        <w:noProof/>
      </w:rPr>
      <w:drawing>
        <wp:inline distT="0" distB="0" distL="0" distR="0" wp14:anchorId="5CCBB212" wp14:editId="0D7B4C43">
          <wp:extent cx="1676400" cy="182880"/>
          <wp:effectExtent l="0" t="0" r="0" b="7620"/>
          <wp:docPr id="3" name="Picture 3" descr="Marsden Jacob 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828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E7A"/>
    <w:multiLevelType w:val="hybridMultilevel"/>
    <w:tmpl w:val="FA80869C"/>
    <w:styleLink w:val="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77EE3"/>
    <w:multiLevelType w:val="hybridMultilevel"/>
    <w:tmpl w:val="56603B9E"/>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2">
    <w:nsid w:val="075A4425"/>
    <w:multiLevelType w:val="multilevel"/>
    <w:tmpl w:val="152A3086"/>
    <w:lvl w:ilvl="0">
      <w:start w:val="1"/>
      <w:numFmt w:val="decimal"/>
      <w:pStyle w:val="MJAheading1"/>
      <w:lvlText w:val="%1."/>
      <w:lvlJc w:val="left"/>
      <w:pPr>
        <w:ind w:left="644" w:hanging="360"/>
      </w:pPr>
      <w:rPr>
        <w:rFonts w:hint="default"/>
      </w:rPr>
    </w:lvl>
    <w:lvl w:ilvl="1">
      <w:start w:val="1"/>
      <w:numFmt w:val="decimal"/>
      <w:pStyle w:val="MJAheading2"/>
      <w:lvlText w:val="%1.%2"/>
      <w:lvlJc w:val="left"/>
      <w:pPr>
        <w:ind w:left="2160" w:hanging="360"/>
      </w:pPr>
      <w:rPr>
        <w:rFonts w:hint="default"/>
      </w:rPr>
    </w:lvl>
    <w:lvl w:ilvl="2">
      <w:start w:val="1"/>
      <w:numFmt w:val="decimal"/>
      <w:pStyle w:val="MJAheading3"/>
      <w:lvlText w:val="%1.%2.%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
    <w:nsid w:val="08C51231"/>
    <w:multiLevelType w:val="hybridMultilevel"/>
    <w:tmpl w:val="081A0D18"/>
    <w:lvl w:ilvl="0" w:tplc="1E44863C">
      <w:start w:val="1"/>
      <w:numFmt w:val="bullet"/>
      <w:pStyle w:val="CVbullet"/>
      <w:lvlText w:val=""/>
      <w:lvlJc w:val="left"/>
      <w:pPr>
        <w:ind w:left="720" w:hanging="360"/>
      </w:pPr>
      <w:rPr>
        <w:rFonts w:ascii="Wingdings" w:hAnsi="Wingdings" w:hint="default"/>
        <w:color w:val="0093D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2E0DE3"/>
    <w:multiLevelType w:val="hybridMultilevel"/>
    <w:tmpl w:val="D57EE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D92F9F"/>
    <w:multiLevelType w:val="hybridMultilevel"/>
    <w:tmpl w:val="5F56E222"/>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6">
    <w:nsid w:val="10914AEB"/>
    <w:multiLevelType w:val="hybridMultilevel"/>
    <w:tmpl w:val="A58EB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A51130"/>
    <w:multiLevelType w:val="hybridMultilevel"/>
    <w:tmpl w:val="45D6A52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nsid w:val="1CFC366E"/>
    <w:multiLevelType w:val="hybridMultilevel"/>
    <w:tmpl w:val="B6C09600"/>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9">
    <w:nsid w:val="1E1661AE"/>
    <w:multiLevelType w:val="hybridMultilevel"/>
    <w:tmpl w:val="2C984586"/>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10">
    <w:nsid w:val="1FD850B8"/>
    <w:multiLevelType w:val="hybridMultilevel"/>
    <w:tmpl w:val="EBDE40EA"/>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11">
    <w:nsid w:val="20811F1F"/>
    <w:multiLevelType w:val="hybridMultilevel"/>
    <w:tmpl w:val="3EC0BF42"/>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12">
    <w:nsid w:val="22A265FC"/>
    <w:multiLevelType w:val="multilevel"/>
    <w:tmpl w:val="3198ECA8"/>
    <w:lvl w:ilvl="0">
      <w:start w:val="1"/>
      <w:numFmt w:val="bullet"/>
      <w:pStyle w:val="ListBullet"/>
      <w:lvlText w:val=""/>
      <w:lvlJc w:val="left"/>
      <w:pPr>
        <w:tabs>
          <w:tab w:val="num" w:pos="360"/>
        </w:tabs>
        <w:ind w:left="360" w:hanging="360"/>
      </w:pPr>
      <w:rPr>
        <w:rFonts w:ascii="Symbol" w:hAnsi="Symbol" w:hint="default"/>
        <w:b w:val="0"/>
        <w:i w:val="0"/>
        <w:sz w:val="22"/>
        <w:szCs w:val="22"/>
      </w:rPr>
    </w:lvl>
    <w:lvl w:ilvl="1">
      <w:start w:val="1"/>
      <w:numFmt w:val="bullet"/>
      <w:lvlText w:val="○"/>
      <w:lvlJc w:val="left"/>
      <w:pPr>
        <w:tabs>
          <w:tab w:val="num" w:pos="720"/>
        </w:tabs>
        <w:ind w:left="720" w:hanging="360"/>
      </w:pPr>
      <w:rPr>
        <w:rFonts w:ascii="Arial" w:hAnsi="Arial" w:cs="Times New Roman" w:hint="default"/>
        <w:b w:val="0"/>
        <w:i w:val="0"/>
        <w:sz w:val="22"/>
        <w:szCs w:val="22"/>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6177726"/>
    <w:multiLevelType w:val="hybridMultilevel"/>
    <w:tmpl w:val="8ECCC972"/>
    <w:lvl w:ilvl="0" w:tplc="10247052">
      <w:start w:val="1"/>
      <w:numFmt w:val="bullet"/>
      <w:pStyle w:val="ListParagraph"/>
      <w:lvlText w:val=""/>
      <w:lvlJc w:val="left"/>
      <w:pPr>
        <w:ind w:left="1560" w:hanging="360"/>
      </w:pPr>
      <w:rPr>
        <w:rFonts w:ascii="Symbol" w:hAnsi="Symbol" w:hint="default"/>
        <w:color w:val="auto"/>
      </w:rPr>
    </w:lvl>
    <w:lvl w:ilvl="1" w:tplc="0C090003">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14">
    <w:nsid w:val="300F7792"/>
    <w:multiLevelType w:val="hybridMultilevel"/>
    <w:tmpl w:val="DB2CC6B8"/>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15">
    <w:nsid w:val="360638C4"/>
    <w:multiLevelType w:val="hybridMultilevel"/>
    <w:tmpl w:val="ED0A2DD6"/>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16">
    <w:nsid w:val="374345D1"/>
    <w:multiLevelType w:val="singleLevel"/>
    <w:tmpl w:val="078E2E52"/>
    <w:lvl w:ilvl="0">
      <w:start w:val="1"/>
      <w:numFmt w:val="bullet"/>
      <w:pStyle w:val="MJAbulletnormal"/>
      <w:lvlText w:val=""/>
      <w:lvlJc w:val="left"/>
      <w:pPr>
        <w:ind w:left="360" w:hanging="360"/>
      </w:pPr>
      <w:rPr>
        <w:rFonts w:ascii="Wingdings" w:hAnsi="Wingdings" w:hint="default"/>
        <w:color w:val="0093D0"/>
      </w:rPr>
    </w:lvl>
  </w:abstractNum>
  <w:abstractNum w:abstractNumId="17">
    <w:nsid w:val="38D62D10"/>
    <w:multiLevelType w:val="hybridMultilevel"/>
    <w:tmpl w:val="CE7018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A627C22"/>
    <w:multiLevelType w:val="hybridMultilevel"/>
    <w:tmpl w:val="E4C2916A"/>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19">
    <w:nsid w:val="43387727"/>
    <w:multiLevelType w:val="hybridMultilevel"/>
    <w:tmpl w:val="D4D8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F70E3B"/>
    <w:multiLevelType w:val="hybridMultilevel"/>
    <w:tmpl w:val="62C8326E"/>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21">
    <w:nsid w:val="4E8B7C38"/>
    <w:multiLevelType w:val="hybridMultilevel"/>
    <w:tmpl w:val="8D9CFD14"/>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22">
    <w:nsid w:val="55EF6F2E"/>
    <w:multiLevelType w:val="hybridMultilevel"/>
    <w:tmpl w:val="F946A6C0"/>
    <w:lvl w:ilvl="0" w:tplc="D8688AA8">
      <w:start w:val="1"/>
      <w:numFmt w:val="bullet"/>
      <w:lvlText w:val=""/>
      <w:lvlJc w:val="left"/>
      <w:pPr>
        <w:ind w:left="720" w:hanging="360"/>
      </w:pPr>
      <w:rPr>
        <w:rFonts w:ascii="Wingdings" w:hAnsi="Wingdings" w:hint="default"/>
        <w:color w:val="0093D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0556B8"/>
    <w:multiLevelType w:val="hybridMultilevel"/>
    <w:tmpl w:val="45DC9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C45B81"/>
    <w:multiLevelType w:val="hybridMultilevel"/>
    <w:tmpl w:val="45EE1FB6"/>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25">
    <w:nsid w:val="5C671DA7"/>
    <w:multiLevelType w:val="hybridMultilevel"/>
    <w:tmpl w:val="9B6AE0C8"/>
    <w:lvl w:ilvl="0" w:tplc="0C090001">
      <w:start w:val="1"/>
      <w:numFmt w:val="bullet"/>
      <w:lvlText w:val=""/>
      <w:lvlJc w:val="left"/>
      <w:pPr>
        <w:ind w:left="720" w:hanging="360"/>
      </w:pPr>
      <w:rPr>
        <w:rFonts w:ascii="Symbol" w:hAnsi="Symbol" w:hint="default"/>
        <w:color w:val="0093D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461A1A"/>
    <w:multiLevelType w:val="hybridMultilevel"/>
    <w:tmpl w:val="1408CE3C"/>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27">
    <w:nsid w:val="74702FD8"/>
    <w:multiLevelType w:val="hybridMultilevel"/>
    <w:tmpl w:val="7FA200B6"/>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28">
    <w:nsid w:val="7F343D3C"/>
    <w:multiLevelType w:val="hybridMultilevel"/>
    <w:tmpl w:val="D1B81C3C"/>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num w:numId="1">
    <w:abstractNumId w:val="2"/>
  </w:num>
  <w:num w:numId="2">
    <w:abstractNumId w:val="13"/>
  </w:num>
  <w:num w:numId="3">
    <w:abstractNumId w:val="16"/>
  </w:num>
  <w:num w:numId="4">
    <w:abstractNumId w:val="12"/>
  </w:num>
  <w:num w:numId="5">
    <w:abstractNumId w:val="3"/>
  </w:num>
  <w:num w:numId="6">
    <w:abstractNumId w:val="0"/>
  </w:num>
  <w:num w:numId="7">
    <w:abstractNumId w:val="22"/>
  </w:num>
  <w:num w:numId="8">
    <w:abstractNumId w:val="7"/>
  </w:num>
  <w:num w:numId="9">
    <w:abstractNumId w:val="26"/>
  </w:num>
  <w:num w:numId="10">
    <w:abstractNumId w:val="1"/>
  </w:num>
  <w:num w:numId="11">
    <w:abstractNumId w:val="8"/>
  </w:num>
  <w:num w:numId="12">
    <w:abstractNumId w:val="9"/>
  </w:num>
  <w:num w:numId="13">
    <w:abstractNumId w:val="18"/>
  </w:num>
  <w:num w:numId="14">
    <w:abstractNumId w:val="24"/>
  </w:num>
  <w:num w:numId="15">
    <w:abstractNumId w:val="14"/>
  </w:num>
  <w:num w:numId="16">
    <w:abstractNumId w:val="10"/>
  </w:num>
  <w:num w:numId="17">
    <w:abstractNumId w:val="5"/>
  </w:num>
  <w:num w:numId="18">
    <w:abstractNumId w:val="15"/>
  </w:num>
  <w:num w:numId="19">
    <w:abstractNumId w:val="20"/>
  </w:num>
  <w:num w:numId="20">
    <w:abstractNumId w:val="28"/>
  </w:num>
  <w:num w:numId="21">
    <w:abstractNumId w:val="27"/>
  </w:num>
  <w:num w:numId="22">
    <w:abstractNumId w:val="21"/>
  </w:num>
  <w:num w:numId="23">
    <w:abstractNumId w:val="11"/>
  </w:num>
  <w:num w:numId="24">
    <w:abstractNumId w:val="25"/>
  </w:num>
  <w:num w:numId="25">
    <w:abstractNumId w:val="17"/>
  </w:num>
  <w:num w:numId="26">
    <w:abstractNumId w:val="23"/>
  </w:num>
  <w:num w:numId="27">
    <w:abstractNumId w:val="6"/>
  </w:num>
  <w:num w:numId="28">
    <w:abstractNumId w:val="19"/>
  </w:num>
  <w:num w:numId="2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4513" fillcolor="#00b8dd" stroke="f">
      <v:fill color="#00b8dd"/>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A0"/>
    <w:rsid w:val="00000539"/>
    <w:rsid w:val="00000A6E"/>
    <w:rsid w:val="00002F9F"/>
    <w:rsid w:val="00004181"/>
    <w:rsid w:val="00006DF1"/>
    <w:rsid w:val="000075A0"/>
    <w:rsid w:val="000075A9"/>
    <w:rsid w:val="00011C59"/>
    <w:rsid w:val="00013373"/>
    <w:rsid w:val="00013D2F"/>
    <w:rsid w:val="00014BED"/>
    <w:rsid w:val="00015682"/>
    <w:rsid w:val="00016BB3"/>
    <w:rsid w:val="000176DF"/>
    <w:rsid w:val="00017EBB"/>
    <w:rsid w:val="00020E23"/>
    <w:rsid w:val="000217E4"/>
    <w:rsid w:val="00022335"/>
    <w:rsid w:val="000233DA"/>
    <w:rsid w:val="00023C7A"/>
    <w:rsid w:val="00023E23"/>
    <w:rsid w:val="00026A52"/>
    <w:rsid w:val="0002794A"/>
    <w:rsid w:val="00031763"/>
    <w:rsid w:val="00034EC7"/>
    <w:rsid w:val="00035A05"/>
    <w:rsid w:val="00041964"/>
    <w:rsid w:val="000431F6"/>
    <w:rsid w:val="00044039"/>
    <w:rsid w:val="00044C8B"/>
    <w:rsid w:val="000453B9"/>
    <w:rsid w:val="00047C15"/>
    <w:rsid w:val="0005013E"/>
    <w:rsid w:val="000523F2"/>
    <w:rsid w:val="00052DD1"/>
    <w:rsid w:val="00054D1F"/>
    <w:rsid w:val="0005709C"/>
    <w:rsid w:val="0005771C"/>
    <w:rsid w:val="00057FCE"/>
    <w:rsid w:val="000624D3"/>
    <w:rsid w:val="000646FA"/>
    <w:rsid w:val="00065A32"/>
    <w:rsid w:val="00070004"/>
    <w:rsid w:val="00070EB1"/>
    <w:rsid w:val="000723AB"/>
    <w:rsid w:val="000723D9"/>
    <w:rsid w:val="00072A35"/>
    <w:rsid w:val="000732CC"/>
    <w:rsid w:val="000744B8"/>
    <w:rsid w:val="00074D44"/>
    <w:rsid w:val="0007503A"/>
    <w:rsid w:val="0007724E"/>
    <w:rsid w:val="000777C9"/>
    <w:rsid w:val="00077CC9"/>
    <w:rsid w:val="000801B3"/>
    <w:rsid w:val="00084D48"/>
    <w:rsid w:val="0008518B"/>
    <w:rsid w:val="00085906"/>
    <w:rsid w:val="000860DC"/>
    <w:rsid w:val="00086834"/>
    <w:rsid w:val="00087FA1"/>
    <w:rsid w:val="00090C10"/>
    <w:rsid w:val="00093AFD"/>
    <w:rsid w:val="0009598F"/>
    <w:rsid w:val="000A00A2"/>
    <w:rsid w:val="000A11CC"/>
    <w:rsid w:val="000A28C8"/>
    <w:rsid w:val="000A3CF8"/>
    <w:rsid w:val="000A45A4"/>
    <w:rsid w:val="000A7C1B"/>
    <w:rsid w:val="000A7D09"/>
    <w:rsid w:val="000B0525"/>
    <w:rsid w:val="000B157E"/>
    <w:rsid w:val="000B2DE4"/>
    <w:rsid w:val="000B37FF"/>
    <w:rsid w:val="000B6548"/>
    <w:rsid w:val="000C0031"/>
    <w:rsid w:val="000C28EF"/>
    <w:rsid w:val="000C33C4"/>
    <w:rsid w:val="000C3599"/>
    <w:rsid w:val="000C36F8"/>
    <w:rsid w:val="000C3C8F"/>
    <w:rsid w:val="000C41E6"/>
    <w:rsid w:val="000C627D"/>
    <w:rsid w:val="000C6310"/>
    <w:rsid w:val="000D1EEE"/>
    <w:rsid w:val="000D21F1"/>
    <w:rsid w:val="000D5D66"/>
    <w:rsid w:val="000D67E2"/>
    <w:rsid w:val="000D7CE8"/>
    <w:rsid w:val="000E1092"/>
    <w:rsid w:val="000E10BF"/>
    <w:rsid w:val="000E1814"/>
    <w:rsid w:val="000E2BE6"/>
    <w:rsid w:val="000E4383"/>
    <w:rsid w:val="000E45B8"/>
    <w:rsid w:val="000E4B94"/>
    <w:rsid w:val="000E51E7"/>
    <w:rsid w:val="000E75D1"/>
    <w:rsid w:val="000E78B9"/>
    <w:rsid w:val="000F00CA"/>
    <w:rsid w:val="000F0AFD"/>
    <w:rsid w:val="000F1D24"/>
    <w:rsid w:val="000F26DE"/>
    <w:rsid w:val="000F2C12"/>
    <w:rsid w:val="000F2D55"/>
    <w:rsid w:val="000F3A0C"/>
    <w:rsid w:val="000F4CA0"/>
    <w:rsid w:val="000F4EBF"/>
    <w:rsid w:val="000F6068"/>
    <w:rsid w:val="000F65DD"/>
    <w:rsid w:val="000F664C"/>
    <w:rsid w:val="000F6BAD"/>
    <w:rsid w:val="000F7890"/>
    <w:rsid w:val="00100C09"/>
    <w:rsid w:val="00101ACD"/>
    <w:rsid w:val="001025F4"/>
    <w:rsid w:val="001030FF"/>
    <w:rsid w:val="00103C1A"/>
    <w:rsid w:val="0010538C"/>
    <w:rsid w:val="00105868"/>
    <w:rsid w:val="001067FD"/>
    <w:rsid w:val="0010744A"/>
    <w:rsid w:val="00107599"/>
    <w:rsid w:val="00107B52"/>
    <w:rsid w:val="00107BEF"/>
    <w:rsid w:val="00112A24"/>
    <w:rsid w:val="00114F7B"/>
    <w:rsid w:val="001163F1"/>
    <w:rsid w:val="00121B26"/>
    <w:rsid w:val="00121F13"/>
    <w:rsid w:val="00122546"/>
    <w:rsid w:val="00122B90"/>
    <w:rsid w:val="00124A45"/>
    <w:rsid w:val="0012669D"/>
    <w:rsid w:val="00132D4D"/>
    <w:rsid w:val="001344E2"/>
    <w:rsid w:val="0013558E"/>
    <w:rsid w:val="00135930"/>
    <w:rsid w:val="001362FE"/>
    <w:rsid w:val="00136ED7"/>
    <w:rsid w:val="00142F14"/>
    <w:rsid w:val="0014473D"/>
    <w:rsid w:val="00144A19"/>
    <w:rsid w:val="00145150"/>
    <w:rsid w:val="001452F8"/>
    <w:rsid w:val="00145C2C"/>
    <w:rsid w:val="00146668"/>
    <w:rsid w:val="001500E6"/>
    <w:rsid w:val="00150B8F"/>
    <w:rsid w:val="00151C0C"/>
    <w:rsid w:val="00151F6D"/>
    <w:rsid w:val="00153475"/>
    <w:rsid w:val="001534C7"/>
    <w:rsid w:val="00154787"/>
    <w:rsid w:val="00154F7C"/>
    <w:rsid w:val="0015554B"/>
    <w:rsid w:val="001602A3"/>
    <w:rsid w:val="001604B6"/>
    <w:rsid w:val="00160DAF"/>
    <w:rsid w:val="00161314"/>
    <w:rsid w:val="00162754"/>
    <w:rsid w:val="0016327C"/>
    <w:rsid w:val="00163A7B"/>
    <w:rsid w:val="00164EC2"/>
    <w:rsid w:val="00165F1A"/>
    <w:rsid w:val="00166AE4"/>
    <w:rsid w:val="00167F4A"/>
    <w:rsid w:val="00170A67"/>
    <w:rsid w:val="00171795"/>
    <w:rsid w:val="00171F76"/>
    <w:rsid w:val="0017220A"/>
    <w:rsid w:val="00174E1B"/>
    <w:rsid w:val="00175725"/>
    <w:rsid w:val="00176E83"/>
    <w:rsid w:val="001770D1"/>
    <w:rsid w:val="00180E56"/>
    <w:rsid w:val="001824E9"/>
    <w:rsid w:val="001828A2"/>
    <w:rsid w:val="001832B0"/>
    <w:rsid w:val="00183395"/>
    <w:rsid w:val="00183561"/>
    <w:rsid w:val="00184E6A"/>
    <w:rsid w:val="00186503"/>
    <w:rsid w:val="00186F0E"/>
    <w:rsid w:val="0019033D"/>
    <w:rsid w:val="0019177D"/>
    <w:rsid w:val="0019306E"/>
    <w:rsid w:val="001935A9"/>
    <w:rsid w:val="001936CC"/>
    <w:rsid w:val="00195EF8"/>
    <w:rsid w:val="00196BA6"/>
    <w:rsid w:val="00197790"/>
    <w:rsid w:val="001A4982"/>
    <w:rsid w:val="001A6764"/>
    <w:rsid w:val="001A69A9"/>
    <w:rsid w:val="001A6FE2"/>
    <w:rsid w:val="001B2832"/>
    <w:rsid w:val="001B2BA4"/>
    <w:rsid w:val="001B4694"/>
    <w:rsid w:val="001B470E"/>
    <w:rsid w:val="001B4EB9"/>
    <w:rsid w:val="001B605F"/>
    <w:rsid w:val="001B7601"/>
    <w:rsid w:val="001C6832"/>
    <w:rsid w:val="001C6CF9"/>
    <w:rsid w:val="001C7681"/>
    <w:rsid w:val="001D03A2"/>
    <w:rsid w:val="001D04BA"/>
    <w:rsid w:val="001D3ED0"/>
    <w:rsid w:val="001D5EAE"/>
    <w:rsid w:val="001E005E"/>
    <w:rsid w:val="001E07CB"/>
    <w:rsid w:val="001E0EB2"/>
    <w:rsid w:val="001E1F22"/>
    <w:rsid w:val="001E2CEC"/>
    <w:rsid w:val="001E324D"/>
    <w:rsid w:val="001E3640"/>
    <w:rsid w:val="001E4FB9"/>
    <w:rsid w:val="001E5304"/>
    <w:rsid w:val="001E5E19"/>
    <w:rsid w:val="001E7425"/>
    <w:rsid w:val="001E7E4C"/>
    <w:rsid w:val="001F005E"/>
    <w:rsid w:val="001F06F5"/>
    <w:rsid w:val="001F23D3"/>
    <w:rsid w:val="001F6A72"/>
    <w:rsid w:val="001F7233"/>
    <w:rsid w:val="001F7C05"/>
    <w:rsid w:val="0020153A"/>
    <w:rsid w:val="00203F9F"/>
    <w:rsid w:val="00205849"/>
    <w:rsid w:val="00205AA7"/>
    <w:rsid w:val="00206728"/>
    <w:rsid w:val="002078D4"/>
    <w:rsid w:val="0021034A"/>
    <w:rsid w:val="00211952"/>
    <w:rsid w:val="00212276"/>
    <w:rsid w:val="00212C48"/>
    <w:rsid w:val="00213B17"/>
    <w:rsid w:val="00213E06"/>
    <w:rsid w:val="002154D9"/>
    <w:rsid w:val="00220403"/>
    <w:rsid w:val="002216ED"/>
    <w:rsid w:val="002224A7"/>
    <w:rsid w:val="002243FC"/>
    <w:rsid w:val="0023082F"/>
    <w:rsid w:val="00231EC7"/>
    <w:rsid w:val="002322B4"/>
    <w:rsid w:val="002328FD"/>
    <w:rsid w:val="00234266"/>
    <w:rsid w:val="00234908"/>
    <w:rsid w:val="002376FC"/>
    <w:rsid w:val="00237D1D"/>
    <w:rsid w:val="002402E0"/>
    <w:rsid w:val="002402EC"/>
    <w:rsid w:val="002414D0"/>
    <w:rsid w:val="00242D1F"/>
    <w:rsid w:val="00244AA4"/>
    <w:rsid w:val="00245FA5"/>
    <w:rsid w:val="00246F7C"/>
    <w:rsid w:val="00251688"/>
    <w:rsid w:val="002524A8"/>
    <w:rsid w:val="002524C0"/>
    <w:rsid w:val="0025431B"/>
    <w:rsid w:val="002546C4"/>
    <w:rsid w:val="00255F7E"/>
    <w:rsid w:val="00256EE2"/>
    <w:rsid w:val="00257170"/>
    <w:rsid w:val="00261474"/>
    <w:rsid w:val="00261DDA"/>
    <w:rsid w:val="002623C2"/>
    <w:rsid w:val="0026298B"/>
    <w:rsid w:val="00262D50"/>
    <w:rsid w:val="00262D8E"/>
    <w:rsid w:val="00263F4B"/>
    <w:rsid w:val="00264632"/>
    <w:rsid w:val="0027137B"/>
    <w:rsid w:val="002720F8"/>
    <w:rsid w:val="0027312D"/>
    <w:rsid w:val="002733B9"/>
    <w:rsid w:val="002740FD"/>
    <w:rsid w:val="00274828"/>
    <w:rsid w:val="0027483D"/>
    <w:rsid w:val="00276C4A"/>
    <w:rsid w:val="00276DA1"/>
    <w:rsid w:val="0027707E"/>
    <w:rsid w:val="002804FA"/>
    <w:rsid w:val="002849CA"/>
    <w:rsid w:val="002864CB"/>
    <w:rsid w:val="002869C6"/>
    <w:rsid w:val="002873E8"/>
    <w:rsid w:val="00287515"/>
    <w:rsid w:val="0029068A"/>
    <w:rsid w:val="00290AD0"/>
    <w:rsid w:val="00290E59"/>
    <w:rsid w:val="002939CA"/>
    <w:rsid w:val="00295BFF"/>
    <w:rsid w:val="0029673D"/>
    <w:rsid w:val="002973D4"/>
    <w:rsid w:val="002A087C"/>
    <w:rsid w:val="002A2216"/>
    <w:rsid w:val="002A233D"/>
    <w:rsid w:val="002A2F90"/>
    <w:rsid w:val="002A3AC1"/>
    <w:rsid w:val="002A41B3"/>
    <w:rsid w:val="002A446C"/>
    <w:rsid w:val="002A4617"/>
    <w:rsid w:val="002A47A8"/>
    <w:rsid w:val="002A4AD2"/>
    <w:rsid w:val="002A5EAA"/>
    <w:rsid w:val="002A730D"/>
    <w:rsid w:val="002B2C03"/>
    <w:rsid w:val="002B340E"/>
    <w:rsid w:val="002B41A5"/>
    <w:rsid w:val="002B46E6"/>
    <w:rsid w:val="002B5BFD"/>
    <w:rsid w:val="002C067A"/>
    <w:rsid w:val="002C216E"/>
    <w:rsid w:val="002C279B"/>
    <w:rsid w:val="002C33EF"/>
    <w:rsid w:val="002C3949"/>
    <w:rsid w:val="002C4DF7"/>
    <w:rsid w:val="002C56B7"/>
    <w:rsid w:val="002C5903"/>
    <w:rsid w:val="002C5AC6"/>
    <w:rsid w:val="002D2480"/>
    <w:rsid w:val="002D30BA"/>
    <w:rsid w:val="002D3C3B"/>
    <w:rsid w:val="002D4223"/>
    <w:rsid w:val="002D4718"/>
    <w:rsid w:val="002D4DB0"/>
    <w:rsid w:val="002D5F0E"/>
    <w:rsid w:val="002D626A"/>
    <w:rsid w:val="002D64C5"/>
    <w:rsid w:val="002D6EA6"/>
    <w:rsid w:val="002E0504"/>
    <w:rsid w:val="002E06B4"/>
    <w:rsid w:val="002E13B9"/>
    <w:rsid w:val="002E210F"/>
    <w:rsid w:val="002E2F67"/>
    <w:rsid w:val="002F0BB8"/>
    <w:rsid w:val="002F258F"/>
    <w:rsid w:val="002F27A9"/>
    <w:rsid w:val="002F2AF8"/>
    <w:rsid w:val="002F2FF8"/>
    <w:rsid w:val="002F4587"/>
    <w:rsid w:val="002F4AB9"/>
    <w:rsid w:val="002F7F8B"/>
    <w:rsid w:val="00300DA1"/>
    <w:rsid w:val="00300E3F"/>
    <w:rsid w:val="0030133B"/>
    <w:rsid w:val="00301DCC"/>
    <w:rsid w:val="00305315"/>
    <w:rsid w:val="0030695C"/>
    <w:rsid w:val="00307165"/>
    <w:rsid w:val="00307B59"/>
    <w:rsid w:val="00312B4B"/>
    <w:rsid w:val="0031345A"/>
    <w:rsid w:val="003145B3"/>
    <w:rsid w:val="0031617D"/>
    <w:rsid w:val="0031779F"/>
    <w:rsid w:val="00317A4B"/>
    <w:rsid w:val="00320D4C"/>
    <w:rsid w:val="00320FEF"/>
    <w:rsid w:val="00321126"/>
    <w:rsid w:val="0032384C"/>
    <w:rsid w:val="00325ABF"/>
    <w:rsid w:val="00325FDA"/>
    <w:rsid w:val="003261EC"/>
    <w:rsid w:val="003301F7"/>
    <w:rsid w:val="00331134"/>
    <w:rsid w:val="003318DE"/>
    <w:rsid w:val="00333350"/>
    <w:rsid w:val="00333778"/>
    <w:rsid w:val="00333EAC"/>
    <w:rsid w:val="00334396"/>
    <w:rsid w:val="0033456C"/>
    <w:rsid w:val="003357FE"/>
    <w:rsid w:val="00337C23"/>
    <w:rsid w:val="00340309"/>
    <w:rsid w:val="00341D7B"/>
    <w:rsid w:val="00342876"/>
    <w:rsid w:val="00342CA2"/>
    <w:rsid w:val="00342F6C"/>
    <w:rsid w:val="00343AA2"/>
    <w:rsid w:val="003448E0"/>
    <w:rsid w:val="00346AF1"/>
    <w:rsid w:val="0034748A"/>
    <w:rsid w:val="00350407"/>
    <w:rsid w:val="003505F8"/>
    <w:rsid w:val="003538EC"/>
    <w:rsid w:val="00354B7C"/>
    <w:rsid w:val="00355401"/>
    <w:rsid w:val="00355971"/>
    <w:rsid w:val="003560B5"/>
    <w:rsid w:val="003569C3"/>
    <w:rsid w:val="0035714E"/>
    <w:rsid w:val="0036282A"/>
    <w:rsid w:val="00364968"/>
    <w:rsid w:val="00366F7E"/>
    <w:rsid w:val="00372471"/>
    <w:rsid w:val="00373F44"/>
    <w:rsid w:val="003748DC"/>
    <w:rsid w:val="00376E76"/>
    <w:rsid w:val="00377127"/>
    <w:rsid w:val="0038206E"/>
    <w:rsid w:val="00382553"/>
    <w:rsid w:val="00385F71"/>
    <w:rsid w:val="0038775D"/>
    <w:rsid w:val="00390669"/>
    <w:rsid w:val="00390C92"/>
    <w:rsid w:val="00394CDD"/>
    <w:rsid w:val="00395179"/>
    <w:rsid w:val="003969E7"/>
    <w:rsid w:val="00396E34"/>
    <w:rsid w:val="003A0B46"/>
    <w:rsid w:val="003A0D6F"/>
    <w:rsid w:val="003A137D"/>
    <w:rsid w:val="003A24CA"/>
    <w:rsid w:val="003A24CB"/>
    <w:rsid w:val="003A578D"/>
    <w:rsid w:val="003A604A"/>
    <w:rsid w:val="003A7F7F"/>
    <w:rsid w:val="003B0CB5"/>
    <w:rsid w:val="003B3810"/>
    <w:rsid w:val="003B4E03"/>
    <w:rsid w:val="003B6FC0"/>
    <w:rsid w:val="003C1E1A"/>
    <w:rsid w:val="003C452B"/>
    <w:rsid w:val="003C46EA"/>
    <w:rsid w:val="003C65E9"/>
    <w:rsid w:val="003D1406"/>
    <w:rsid w:val="003D190E"/>
    <w:rsid w:val="003D389B"/>
    <w:rsid w:val="003D58E4"/>
    <w:rsid w:val="003D6A26"/>
    <w:rsid w:val="003E0170"/>
    <w:rsid w:val="003E1C44"/>
    <w:rsid w:val="003E35F3"/>
    <w:rsid w:val="003E43FC"/>
    <w:rsid w:val="003E4FB1"/>
    <w:rsid w:val="003E6512"/>
    <w:rsid w:val="003E7AA0"/>
    <w:rsid w:val="003F045F"/>
    <w:rsid w:val="003F080B"/>
    <w:rsid w:val="003F0AA3"/>
    <w:rsid w:val="003F0DF5"/>
    <w:rsid w:val="003F185F"/>
    <w:rsid w:val="003F3CE3"/>
    <w:rsid w:val="003F41B7"/>
    <w:rsid w:val="003F59F2"/>
    <w:rsid w:val="003F668C"/>
    <w:rsid w:val="003F67DD"/>
    <w:rsid w:val="003F6CA5"/>
    <w:rsid w:val="003F6F4E"/>
    <w:rsid w:val="003F7B0A"/>
    <w:rsid w:val="00401CB3"/>
    <w:rsid w:val="004025A8"/>
    <w:rsid w:val="00402A2A"/>
    <w:rsid w:val="00402E0A"/>
    <w:rsid w:val="00403C5D"/>
    <w:rsid w:val="00404214"/>
    <w:rsid w:val="0040488B"/>
    <w:rsid w:val="0040525D"/>
    <w:rsid w:val="00405998"/>
    <w:rsid w:val="00406109"/>
    <w:rsid w:val="00406516"/>
    <w:rsid w:val="0040791D"/>
    <w:rsid w:val="00407C70"/>
    <w:rsid w:val="0041265A"/>
    <w:rsid w:val="0041462E"/>
    <w:rsid w:val="00414AAF"/>
    <w:rsid w:val="00414F3A"/>
    <w:rsid w:val="004152F0"/>
    <w:rsid w:val="00416A19"/>
    <w:rsid w:val="00422249"/>
    <w:rsid w:val="00423B21"/>
    <w:rsid w:val="0042485C"/>
    <w:rsid w:val="00425179"/>
    <w:rsid w:val="00425279"/>
    <w:rsid w:val="004267F1"/>
    <w:rsid w:val="0042742E"/>
    <w:rsid w:val="004277A5"/>
    <w:rsid w:val="00427835"/>
    <w:rsid w:val="00430591"/>
    <w:rsid w:val="004309C9"/>
    <w:rsid w:val="0043128B"/>
    <w:rsid w:val="0043223E"/>
    <w:rsid w:val="004339EB"/>
    <w:rsid w:val="004341D1"/>
    <w:rsid w:val="0043494C"/>
    <w:rsid w:val="004349AD"/>
    <w:rsid w:val="00434F79"/>
    <w:rsid w:val="0043523B"/>
    <w:rsid w:val="00435434"/>
    <w:rsid w:val="004409A1"/>
    <w:rsid w:val="0044242C"/>
    <w:rsid w:val="00442830"/>
    <w:rsid w:val="00443A3A"/>
    <w:rsid w:val="00444463"/>
    <w:rsid w:val="00444A8A"/>
    <w:rsid w:val="00444E1E"/>
    <w:rsid w:val="00451C2B"/>
    <w:rsid w:val="00452775"/>
    <w:rsid w:val="00454D4B"/>
    <w:rsid w:val="004559C1"/>
    <w:rsid w:val="0045608A"/>
    <w:rsid w:val="00456536"/>
    <w:rsid w:val="0045719E"/>
    <w:rsid w:val="00460AFA"/>
    <w:rsid w:val="00461AA3"/>
    <w:rsid w:val="00463BC8"/>
    <w:rsid w:val="00463CEB"/>
    <w:rsid w:val="00464183"/>
    <w:rsid w:val="00464206"/>
    <w:rsid w:val="004644F6"/>
    <w:rsid w:val="004661B5"/>
    <w:rsid w:val="00466E8E"/>
    <w:rsid w:val="004672DB"/>
    <w:rsid w:val="004704E3"/>
    <w:rsid w:val="0047106F"/>
    <w:rsid w:val="00471448"/>
    <w:rsid w:val="00473624"/>
    <w:rsid w:val="004739B9"/>
    <w:rsid w:val="004739BD"/>
    <w:rsid w:val="0047417B"/>
    <w:rsid w:val="00480A23"/>
    <w:rsid w:val="00482151"/>
    <w:rsid w:val="004830CE"/>
    <w:rsid w:val="00484C23"/>
    <w:rsid w:val="004877ED"/>
    <w:rsid w:val="00490B20"/>
    <w:rsid w:val="00492209"/>
    <w:rsid w:val="00492E8F"/>
    <w:rsid w:val="004944BA"/>
    <w:rsid w:val="00495680"/>
    <w:rsid w:val="00495AE1"/>
    <w:rsid w:val="0049614F"/>
    <w:rsid w:val="004A05BE"/>
    <w:rsid w:val="004A0DB7"/>
    <w:rsid w:val="004A2AF3"/>
    <w:rsid w:val="004A2EDA"/>
    <w:rsid w:val="004A2FC7"/>
    <w:rsid w:val="004A3221"/>
    <w:rsid w:val="004A4D2E"/>
    <w:rsid w:val="004A65E1"/>
    <w:rsid w:val="004B0EBA"/>
    <w:rsid w:val="004B4511"/>
    <w:rsid w:val="004B66E0"/>
    <w:rsid w:val="004B6BB8"/>
    <w:rsid w:val="004B6FE6"/>
    <w:rsid w:val="004B7469"/>
    <w:rsid w:val="004C0119"/>
    <w:rsid w:val="004C1FFD"/>
    <w:rsid w:val="004C2C15"/>
    <w:rsid w:val="004C3071"/>
    <w:rsid w:val="004C3B96"/>
    <w:rsid w:val="004C45F9"/>
    <w:rsid w:val="004C59B7"/>
    <w:rsid w:val="004C5E5F"/>
    <w:rsid w:val="004C6460"/>
    <w:rsid w:val="004D0922"/>
    <w:rsid w:val="004D1C0B"/>
    <w:rsid w:val="004D448B"/>
    <w:rsid w:val="004D5BAD"/>
    <w:rsid w:val="004E3DF4"/>
    <w:rsid w:val="004E51EE"/>
    <w:rsid w:val="004E6608"/>
    <w:rsid w:val="004E67BE"/>
    <w:rsid w:val="004E69C1"/>
    <w:rsid w:val="004E7708"/>
    <w:rsid w:val="004E7E10"/>
    <w:rsid w:val="004E7F47"/>
    <w:rsid w:val="004F1839"/>
    <w:rsid w:val="004F453F"/>
    <w:rsid w:val="004F5941"/>
    <w:rsid w:val="004F6195"/>
    <w:rsid w:val="004F6C2B"/>
    <w:rsid w:val="00500F57"/>
    <w:rsid w:val="00501806"/>
    <w:rsid w:val="00501EB6"/>
    <w:rsid w:val="00502B46"/>
    <w:rsid w:val="0050346C"/>
    <w:rsid w:val="005035FE"/>
    <w:rsid w:val="00503983"/>
    <w:rsid w:val="00506679"/>
    <w:rsid w:val="005072C3"/>
    <w:rsid w:val="005074AD"/>
    <w:rsid w:val="00510778"/>
    <w:rsid w:val="00511EB3"/>
    <w:rsid w:val="00512323"/>
    <w:rsid w:val="00513F28"/>
    <w:rsid w:val="005147F6"/>
    <w:rsid w:val="00516F8F"/>
    <w:rsid w:val="00517551"/>
    <w:rsid w:val="00517CED"/>
    <w:rsid w:val="0052170B"/>
    <w:rsid w:val="00521713"/>
    <w:rsid w:val="00524BE1"/>
    <w:rsid w:val="00527BFD"/>
    <w:rsid w:val="00530BEE"/>
    <w:rsid w:val="0053102B"/>
    <w:rsid w:val="005318E9"/>
    <w:rsid w:val="00532A21"/>
    <w:rsid w:val="00532B0F"/>
    <w:rsid w:val="00533DF4"/>
    <w:rsid w:val="00534EBB"/>
    <w:rsid w:val="00535A7D"/>
    <w:rsid w:val="00537648"/>
    <w:rsid w:val="00537835"/>
    <w:rsid w:val="005379D9"/>
    <w:rsid w:val="005404CC"/>
    <w:rsid w:val="005405F1"/>
    <w:rsid w:val="00540735"/>
    <w:rsid w:val="00540E4F"/>
    <w:rsid w:val="00543638"/>
    <w:rsid w:val="00543A93"/>
    <w:rsid w:val="00547C19"/>
    <w:rsid w:val="00550DD7"/>
    <w:rsid w:val="00552289"/>
    <w:rsid w:val="00552C38"/>
    <w:rsid w:val="0055328A"/>
    <w:rsid w:val="005540F0"/>
    <w:rsid w:val="0055507B"/>
    <w:rsid w:val="005558E3"/>
    <w:rsid w:val="0055597A"/>
    <w:rsid w:val="00555BD6"/>
    <w:rsid w:val="00556762"/>
    <w:rsid w:val="005571B1"/>
    <w:rsid w:val="005612E0"/>
    <w:rsid w:val="005624B1"/>
    <w:rsid w:val="00565731"/>
    <w:rsid w:val="00566E1D"/>
    <w:rsid w:val="005677D1"/>
    <w:rsid w:val="00567CAA"/>
    <w:rsid w:val="0057181F"/>
    <w:rsid w:val="00573F90"/>
    <w:rsid w:val="00574CC0"/>
    <w:rsid w:val="005753B5"/>
    <w:rsid w:val="00575DBD"/>
    <w:rsid w:val="00581526"/>
    <w:rsid w:val="005847F9"/>
    <w:rsid w:val="005852E5"/>
    <w:rsid w:val="005859E3"/>
    <w:rsid w:val="005864FC"/>
    <w:rsid w:val="0059030F"/>
    <w:rsid w:val="005935E1"/>
    <w:rsid w:val="00595068"/>
    <w:rsid w:val="00596445"/>
    <w:rsid w:val="005A0F35"/>
    <w:rsid w:val="005A1F27"/>
    <w:rsid w:val="005A1F64"/>
    <w:rsid w:val="005A2360"/>
    <w:rsid w:val="005A38D7"/>
    <w:rsid w:val="005A462E"/>
    <w:rsid w:val="005A481C"/>
    <w:rsid w:val="005A4D50"/>
    <w:rsid w:val="005A52F0"/>
    <w:rsid w:val="005A6DB8"/>
    <w:rsid w:val="005A6E3A"/>
    <w:rsid w:val="005A7653"/>
    <w:rsid w:val="005B080F"/>
    <w:rsid w:val="005B1E8C"/>
    <w:rsid w:val="005B2147"/>
    <w:rsid w:val="005B233B"/>
    <w:rsid w:val="005B2A20"/>
    <w:rsid w:val="005B6C94"/>
    <w:rsid w:val="005B7B48"/>
    <w:rsid w:val="005C0CB6"/>
    <w:rsid w:val="005C193B"/>
    <w:rsid w:val="005C2178"/>
    <w:rsid w:val="005C47A3"/>
    <w:rsid w:val="005C4C1C"/>
    <w:rsid w:val="005D1D8F"/>
    <w:rsid w:val="005D2107"/>
    <w:rsid w:val="005D2634"/>
    <w:rsid w:val="005D277F"/>
    <w:rsid w:val="005D3456"/>
    <w:rsid w:val="005D364E"/>
    <w:rsid w:val="005D4430"/>
    <w:rsid w:val="005D46A4"/>
    <w:rsid w:val="005D51AF"/>
    <w:rsid w:val="005D5629"/>
    <w:rsid w:val="005D6D50"/>
    <w:rsid w:val="005E0081"/>
    <w:rsid w:val="005E1636"/>
    <w:rsid w:val="005E2D68"/>
    <w:rsid w:val="005E3B86"/>
    <w:rsid w:val="005E3DC4"/>
    <w:rsid w:val="005E4785"/>
    <w:rsid w:val="005E48A2"/>
    <w:rsid w:val="005E5EDA"/>
    <w:rsid w:val="005E69AB"/>
    <w:rsid w:val="005E703E"/>
    <w:rsid w:val="005F0342"/>
    <w:rsid w:val="005F09D8"/>
    <w:rsid w:val="005F16EC"/>
    <w:rsid w:val="005F19BD"/>
    <w:rsid w:val="005F19FA"/>
    <w:rsid w:val="005F2002"/>
    <w:rsid w:val="005F257E"/>
    <w:rsid w:val="005F3037"/>
    <w:rsid w:val="005F5568"/>
    <w:rsid w:val="005F5BC4"/>
    <w:rsid w:val="005F5CD2"/>
    <w:rsid w:val="005F612B"/>
    <w:rsid w:val="005F6149"/>
    <w:rsid w:val="005F6E0F"/>
    <w:rsid w:val="00602D07"/>
    <w:rsid w:val="006051AA"/>
    <w:rsid w:val="00605509"/>
    <w:rsid w:val="006059B0"/>
    <w:rsid w:val="00605D24"/>
    <w:rsid w:val="006078E4"/>
    <w:rsid w:val="006078F9"/>
    <w:rsid w:val="00610FA4"/>
    <w:rsid w:val="006119E4"/>
    <w:rsid w:val="00612422"/>
    <w:rsid w:val="006129D1"/>
    <w:rsid w:val="006136A6"/>
    <w:rsid w:val="00615413"/>
    <w:rsid w:val="00615FC0"/>
    <w:rsid w:val="0061669B"/>
    <w:rsid w:val="006166DA"/>
    <w:rsid w:val="00616C23"/>
    <w:rsid w:val="00621C54"/>
    <w:rsid w:val="00622622"/>
    <w:rsid w:val="00622B87"/>
    <w:rsid w:val="00627F97"/>
    <w:rsid w:val="006300B0"/>
    <w:rsid w:val="0063148A"/>
    <w:rsid w:val="00631A75"/>
    <w:rsid w:val="00631D7C"/>
    <w:rsid w:val="00632679"/>
    <w:rsid w:val="0063281C"/>
    <w:rsid w:val="00633219"/>
    <w:rsid w:val="0063487C"/>
    <w:rsid w:val="00634F6A"/>
    <w:rsid w:val="00637021"/>
    <w:rsid w:val="006400DC"/>
    <w:rsid w:val="00640F03"/>
    <w:rsid w:val="00641085"/>
    <w:rsid w:val="00641597"/>
    <w:rsid w:val="00641998"/>
    <w:rsid w:val="00642065"/>
    <w:rsid w:val="00642152"/>
    <w:rsid w:val="00642B59"/>
    <w:rsid w:val="00642EDE"/>
    <w:rsid w:val="00643260"/>
    <w:rsid w:val="006456B3"/>
    <w:rsid w:val="006461E5"/>
    <w:rsid w:val="00651412"/>
    <w:rsid w:val="00653DC2"/>
    <w:rsid w:val="00654E89"/>
    <w:rsid w:val="00655390"/>
    <w:rsid w:val="006554AA"/>
    <w:rsid w:val="00657A8E"/>
    <w:rsid w:val="006606EA"/>
    <w:rsid w:val="006613C4"/>
    <w:rsid w:val="00661AAB"/>
    <w:rsid w:val="00661CDE"/>
    <w:rsid w:val="00662682"/>
    <w:rsid w:val="00662B8F"/>
    <w:rsid w:val="00662E42"/>
    <w:rsid w:val="00665FDD"/>
    <w:rsid w:val="006671BC"/>
    <w:rsid w:val="006672B7"/>
    <w:rsid w:val="00667911"/>
    <w:rsid w:val="00667D30"/>
    <w:rsid w:val="00670BA2"/>
    <w:rsid w:val="0067107F"/>
    <w:rsid w:val="006711E0"/>
    <w:rsid w:val="006712EB"/>
    <w:rsid w:val="00672739"/>
    <w:rsid w:val="00672E8B"/>
    <w:rsid w:val="00675A04"/>
    <w:rsid w:val="00676123"/>
    <w:rsid w:val="006766DC"/>
    <w:rsid w:val="00677138"/>
    <w:rsid w:val="006779A8"/>
    <w:rsid w:val="00680A77"/>
    <w:rsid w:val="00680F4A"/>
    <w:rsid w:val="00681145"/>
    <w:rsid w:val="0068372F"/>
    <w:rsid w:val="006858DD"/>
    <w:rsid w:val="00687108"/>
    <w:rsid w:val="0068759D"/>
    <w:rsid w:val="0068782A"/>
    <w:rsid w:val="006927DE"/>
    <w:rsid w:val="00693726"/>
    <w:rsid w:val="00693E8D"/>
    <w:rsid w:val="00695E57"/>
    <w:rsid w:val="00697BA5"/>
    <w:rsid w:val="006A2283"/>
    <w:rsid w:val="006A2348"/>
    <w:rsid w:val="006A46C0"/>
    <w:rsid w:val="006A4BAD"/>
    <w:rsid w:val="006A500E"/>
    <w:rsid w:val="006A5470"/>
    <w:rsid w:val="006A63F1"/>
    <w:rsid w:val="006A65B8"/>
    <w:rsid w:val="006A6BA0"/>
    <w:rsid w:val="006A70F1"/>
    <w:rsid w:val="006B2914"/>
    <w:rsid w:val="006B3DFC"/>
    <w:rsid w:val="006B401F"/>
    <w:rsid w:val="006B46D0"/>
    <w:rsid w:val="006B633B"/>
    <w:rsid w:val="006B6599"/>
    <w:rsid w:val="006B6A83"/>
    <w:rsid w:val="006B6BA4"/>
    <w:rsid w:val="006B7343"/>
    <w:rsid w:val="006B7C9F"/>
    <w:rsid w:val="006B7D0A"/>
    <w:rsid w:val="006C0B79"/>
    <w:rsid w:val="006C2A5B"/>
    <w:rsid w:val="006C30F5"/>
    <w:rsid w:val="006C4E59"/>
    <w:rsid w:val="006C5510"/>
    <w:rsid w:val="006C5D06"/>
    <w:rsid w:val="006C6DDF"/>
    <w:rsid w:val="006D0556"/>
    <w:rsid w:val="006D0843"/>
    <w:rsid w:val="006D2AF3"/>
    <w:rsid w:val="006D3F4C"/>
    <w:rsid w:val="006D50DF"/>
    <w:rsid w:val="006D644F"/>
    <w:rsid w:val="006D6ED4"/>
    <w:rsid w:val="006D71AF"/>
    <w:rsid w:val="006D78F9"/>
    <w:rsid w:val="006E01EB"/>
    <w:rsid w:val="006E13C7"/>
    <w:rsid w:val="006E24C8"/>
    <w:rsid w:val="006E29D8"/>
    <w:rsid w:val="006E2DD1"/>
    <w:rsid w:val="006E2FCE"/>
    <w:rsid w:val="006E6216"/>
    <w:rsid w:val="006E6693"/>
    <w:rsid w:val="006E7CC0"/>
    <w:rsid w:val="006F49ED"/>
    <w:rsid w:val="006F6088"/>
    <w:rsid w:val="00700DC5"/>
    <w:rsid w:val="00702CA2"/>
    <w:rsid w:val="00704867"/>
    <w:rsid w:val="00705435"/>
    <w:rsid w:val="00706E58"/>
    <w:rsid w:val="00710CBF"/>
    <w:rsid w:val="00711B89"/>
    <w:rsid w:val="00712315"/>
    <w:rsid w:val="00712F96"/>
    <w:rsid w:val="00720234"/>
    <w:rsid w:val="007204F5"/>
    <w:rsid w:val="00720B2A"/>
    <w:rsid w:val="00722155"/>
    <w:rsid w:val="00727996"/>
    <w:rsid w:val="00727DC8"/>
    <w:rsid w:val="00727ED6"/>
    <w:rsid w:val="00731EF0"/>
    <w:rsid w:val="0073268A"/>
    <w:rsid w:val="00734514"/>
    <w:rsid w:val="007350D1"/>
    <w:rsid w:val="0073510B"/>
    <w:rsid w:val="00737DF6"/>
    <w:rsid w:val="007400C0"/>
    <w:rsid w:val="007407FA"/>
    <w:rsid w:val="00741095"/>
    <w:rsid w:val="00741174"/>
    <w:rsid w:val="00743E31"/>
    <w:rsid w:val="00744C14"/>
    <w:rsid w:val="0074570C"/>
    <w:rsid w:val="00745A67"/>
    <w:rsid w:val="007466B9"/>
    <w:rsid w:val="00746FC0"/>
    <w:rsid w:val="00747A22"/>
    <w:rsid w:val="00747E65"/>
    <w:rsid w:val="0075185A"/>
    <w:rsid w:val="00751B62"/>
    <w:rsid w:val="00754771"/>
    <w:rsid w:val="00754D17"/>
    <w:rsid w:val="00755821"/>
    <w:rsid w:val="00756A6D"/>
    <w:rsid w:val="0075708C"/>
    <w:rsid w:val="007575EB"/>
    <w:rsid w:val="007615CF"/>
    <w:rsid w:val="00761F9F"/>
    <w:rsid w:val="0076341D"/>
    <w:rsid w:val="0076364E"/>
    <w:rsid w:val="007701B6"/>
    <w:rsid w:val="00770EE2"/>
    <w:rsid w:val="00771445"/>
    <w:rsid w:val="007719BC"/>
    <w:rsid w:val="00771CE5"/>
    <w:rsid w:val="00772072"/>
    <w:rsid w:val="007726EC"/>
    <w:rsid w:val="00772805"/>
    <w:rsid w:val="007733DF"/>
    <w:rsid w:val="00773FC8"/>
    <w:rsid w:val="00776EB0"/>
    <w:rsid w:val="00780AB6"/>
    <w:rsid w:val="00781418"/>
    <w:rsid w:val="00781E8C"/>
    <w:rsid w:val="0078378C"/>
    <w:rsid w:val="00784393"/>
    <w:rsid w:val="007848B2"/>
    <w:rsid w:val="0078591D"/>
    <w:rsid w:val="00787A8C"/>
    <w:rsid w:val="00791849"/>
    <w:rsid w:val="00792D50"/>
    <w:rsid w:val="00793F96"/>
    <w:rsid w:val="00794E6B"/>
    <w:rsid w:val="007950DA"/>
    <w:rsid w:val="0079536A"/>
    <w:rsid w:val="00796E96"/>
    <w:rsid w:val="00797AC9"/>
    <w:rsid w:val="00797E6E"/>
    <w:rsid w:val="007A21CA"/>
    <w:rsid w:val="007A343E"/>
    <w:rsid w:val="007A4BC7"/>
    <w:rsid w:val="007A6938"/>
    <w:rsid w:val="007A7D37"/>
    <w:rsid w:val="007B0436"/>
    <w:rsid w:val="007B0464"/>
    <w:rsid w:val="007B1C34"/>
    <w:rsid w:val="007B4034"/>
    <w:rsid w:val="007B4549"/>
    <w:rsid w:val="007B4B99"/>
    <w:rsid w:val="007B6ECA"/>
    <w:rsid w:val="007B71E3"/>
    <w:rsid w:val="007C0708"/>
    <w:rsid w:val="007C2A0F"/>
    <w:rsid w:val="007C32FF"/>
    <w:rsid w:val="007C4A3A"/>
    <w:rsid w:val="007D2E5A"/>
    <w:rsid w:val="007D3EEB"/>
    <w:rsid w:val="007D434D"/>
    <w:rsid w:val="007D486A"/>
    <w:rsid w:val="007D523B"/>
    <w:rsid w:val="007D5AF8"/>
    <w:rsid w:val="007D67F2"/>
    <w:rsid w:val="007E0ADC"/>
    <w:rsid w:val="007E0C3C"/>
    <w:rsid w:val="007E106A"/>
    <w:rsid w:val="007E37B1"/>
    <w:rsid w:val="007E3BED"/>
    <w:rsid w:val="007E3C38"/>
    <w:rsid w:val="007E410F"/>
    <w:rsid w:val="007E4244"/>
    <w:rsid w:val="007F02D6"/>
    <w:rsid w:val="007F2813"/>
    <w:rsid w:val="007F308E"/>
    <w:rsid w:val="007F4142"/>
    <w:rsid w:val="007F4F54"/>
    <w:rsid w:val="007F52E1"/>
    <w:rsid w:val="007F562F"/>
    <w:rsid w:val="007F5A54"/>
    <w:rsid w:val="007F64D3"/>
    <w:rsid w:val="007F78FA"/>
    <w:rsid w:val="007F79F7"/>
    <w:rsid w:val="00800341"/>
    <w:rsid w:val="00803AA6"/>
    <w:rsid w:val="008046C7"/>
    <w:rsid w:val="00813132"/>
    <w:rsid w:val="00813403"/>
    <w:rsid w:val="008144B0"/>
    <w:rsid w:val="00816749"/>
    <w:rsid w:val="00816C4D"/>
    <w:rsid w:val="00817FDE"/>
    <w:rsid w:val="008211A0"/>
    <w:rsid w:val="00821250"/>
    <w:rsid w:val="00821436"/>
    <w:rsid w:val="00822A9A"/>
    <w:rsid w:val="008240ED"/>
    <w:rsid w:val="0082426F"/>
    <w:rsid w:val="00826A26"/>
    <w:rsid w:val="00827259"/>
    <w:rsid w:val="00830727"/>
    <w:rsid w:val="00830AFF"/>
    <w:rsid w:val="00833915"/>
    <w:rsid w:val="00834842"/>
    <w:rsid w:val="0083609F"/>
    <w:rsid w:val="008402A3"/>
    <w:rsid w:val="0084058A"/>
    <w:rsid w:val="008428E1"/>
    <w:rsid w:val="008432E7"/>
    <w:rsid w:val="0084352F"/>
    <w:rsid w:val="00845673"/>
    <w:rsid w:val="00845E1E"/>
    <w:rsid w:val="008472D9"/>
    <w:rsid w:val="0085037F"/>
    <w:rsid w:val="0085241A"/>
    <w:rsid w:val="00852D14"/>
    <w:rsid w:val="00856A25"/>
    <w:rsid w:val="008571DC"/>
    <w:rsid w:val="00860F80"/>
    <w:rsid w:val="00863E0C"/>
    <w:rsid w:val="008644C0"/>
    <w:rsid w:val="0086552F"/>
    <w:rsid w:val="00866C71"/>
    <w:rsid w:val="0087111B"/>
    <w:rsid w:val="00871E1E"/>
    <w:rsid w:val="00872639"/>
    <w:rsid w:val="00873265"/>
    <w:rsid w:val="00874621"/>
    <w:rsid w:val="00874868"/>
    <w:rsid w:val="00875DE0"/>
    <w:rsid w:val="008808F9"/>
    <w:rsid w:val="0088100E"/>
    <w:rsid w:val="00881F0A"/>
    <w:rsid w:val="00882DEA"/>
    <w:rsid w:val="00882E43"/>
    <w:rsid w:val="008842C8"/>
    <w:rsid w:val="0089004F"/>
    <w:rsid w:val="00890489"/>
    <w:rsid w:val="00892C84"/>
    <w:rsid w:val="00893E03"/>
    <w:rsid w:val="00894581"/>
    <w:rsid w:val="00896AC2"/>
    <w:rsid w:val="00896FE3"/>
    <w:rsid w:val="00897EF5"/>
    <w:rsid w:val="008A14FA"/>
    <w:rsid w:val="008A3999"/>
    <w:rsid w:val="008A41AE"/>
    <w:rsid w:val="008A7028"/>
    <w:rsid w:val="008A7FB2"/>
    <w:rsid w:val="008B2189"/>
    <w:rsid w:val="008B2724"/>
    <w:rsid w:val="008B2B88"/>
    <w:rsid w:val="008B6642"/>
    <w:rsid w:val="008B6D74"/>
    <w:rsid w:val="008C01CC"/>
    <w:rsid w:val="008C18DB"/>
    <w:rsid w:val="008C1EE9"/>
    <w:rsid w:val="008C3EAE"/>
    <w:rsid w:val="008C41BA"/>
    <w:rsid w:val="008C7A8A"/>
    <w:rsid w:val="008D073D"/>
    <w:rsid w:val="008D19A2"/>
    <w:rsid w:val="008D4F84"/>
    <w:rsid w:val="008E0143"/>
    <w:rsid w:val="008E3427"/>
    <w:rsid w:val="008E475F"/>
    <w:rsid w:val="008E5B32"/>
    <w:rsid w:val="008E68E2"/>
    <w:rsid w:val="008E7089"/>
    <w:rsid w:val="008E7443"/>
    <w:rsid w:val="008F01CE"/>
    <w:rsid w:val="008F049B"/>
    <w:rsid w:val="008F31C3"/>
    <w:rsid w:val="008F3412"/>
    <w:rsid w:val="008F47EF"/>
    <w:rsid w:val="008F6647"/>
    <w:rsid w:val="008F71D6"/>
    <w:rsid w:val="008F7E35"/>
    <w:rsid w:val="00900058"/>
    <w:rsid w:val="009011F0"/>
    <w:rsid w:val="00901202"/>
    <w:rsid w:val="0090173F"/>
    <w:rsid w:val="00901DAB"/>
    <w:rsid w:val="00902A07"/>
    <w:rsid w:val="00902E74"/>
    <w:rsid w:val="00902EC4"/>
    <w:rsid w:val="009060D5"/>
    <w:rsid w:val="009065F2"/>
    <w:rsid w:val="00911B40"/>
    <w:rsid w:val="00912653"/>
    <w:rsid w:val="0091287B"/>
    <w:rsid w:val="00912BAE"/>
    <w:rsid w:val="009132EE"/>
    <w:rsid w:val="00913B3F"/>
    <w:rsid w:val="00916823"/>
    <w:rsid w:val="009172B1"/>
    <w:rsid w:val="009228B5"/>
    <w:rsid w:val="00922C30"/>
    <w:rsid w:val="00923601"/>
    <w:rsid w:val="00923FB1"/>
    <w:rsid w:val="00924E10"/>
    <w:rsid w:val="009260B1"/>
    <w:rsid w:val="00927F95"/>
    <w:rsid w:val="00930A7B"/>
    <w:rsid w:val="00931A96"/>
    <w:rsid w:val="0093314B"/>
    <w:rsid w:val="00934473"/>
    <w:rsid w:val="00935063"/>
    <w:rsid w:val="00935889"/>
    <w:rsid w:val="009358B8"/>
    <w:rsid w:val="00940FF4"/>
    <w:rsid w:val="00941202"/>
    <w:rsid w:val="00941F3C"/>
    <w:rsid w:val="00945686"/>
    <w:rsid w:val="00946479"/>
    <w:rsid w:val="009464D1"/>
    <w:rsid w:val="00947476"/>
    <w:rsid w:val="00952230"/>
    <w:rsid w:val="00952677"/>
    <w:rsid w:val="00955ED0"/>
    <w:rsid w:val="00957FA2"/>
    <w:rsid w:val="00960AE6"/>
    <w:rsid w:val="00961566"/>
    <w:rsid w:val="009616DF"/>
    <w:rsid w:val="009629BC"/>
    <w:rsid w:val="00963E2C"/>
    <w:rsid w:val="00964F0A"/>
    <w:rsid w:val="00966DF7"/>
    <w:rsid w:val="00975F7D"/>
    <w:rsid w:val="0097654D"/>
    <w:rsid w:val="009779D7"/>
    <w:rsid w:val="00980EDF"/>
    <w:rsid w:val="00982FA3"/>
    <w:rsid w:val="0098449F"/>
    <w:rsid w:val="00984655"/>
    <w:rsid w:val="00985024"/>
    <w:rsid w:val="0098513A"/>
    <w:rsid w:val="0098596E"/>
    <w:rsid w:val="009867DA"/>
    <w:rsid w:val="0098710F"/>
    <w:rsid w:val="009910DD"/>
    <w:rsid w:val="009922B2"/>
    <w:rsid w:val="00995175"/>
    <w:rsid w:val="009972F8"/>
    <w:rsid w:val="00997B24"/>
    <w:rsid w:val="009A0915"/>
    <w:rsid w:val="009A20BB"/>
    <w:rsid w:val="009A21EE"/>
    <w:rsid w:val="009A23F9"/>
    <w:rsid w:val="009A40AC"/>
    <w:rsid w:val="009A4FA8"/>
    <w:rsid w:val="009A5BF8"/>
    <w:rsid w:val="009A7FB9"/>
    <w:rsid w:val="009B04E8"/>
    <w:rsid w:val="009B2716"/>
    <w:rsid w:val="009B30C9"/>
    <w:rsid w:val="009B3C04"/>
    <w:rsid w:val="009B5D33"/>
    <w:rsid w:val="009B5D68"/>
    <w:rsid w:val="009B7ACC"/>
    <w:rsid w:val="009C25CD"/>
    <w:rsid w:val="009C2C15"/>
    <w:rsid w:val="009C385D"/>
    <w:rsid w:val="009C482F"/>
    <w:rsid w:val="009C4CB4"/>
    <w:rsid w:val="009D218D"/>
    <w:rsid w:val="009E0451"/>
    <w:rsid w:val="009E210E"/>
    <w:rsid w:val="009E2B2F"/>
    <w:rsid w:val="009E36C1"/>
    <w:rsid w:val="009E3D58"/>
    <w:rsid w:val="009E3D9D"/>
    <w:rsid w:val="009E6AB2"/>
    <w:rsid w:val="009E712B"/>
    <w:rsid w:val="009F0FF4"/>
    <w:rsid w:val="009F2EC1"/>
    <w:rsid w:val="009F31F2"/>
    <w:rsid w:val="009F3F13"/>
    <w:rsid w:val="009F4D31"/>
    <w:rsid w:val="009F5BA8"/>
    <w:rsid w:val="009F5D1A"/>
    <w:rsid w:val="009F7DE7"/>
    <w:rsid w:val="00A00D1F"/>
    <w:rsid w:val="00A0239F"/>
    <w:rsid w:val="00A02A98"/>
    <w:rsid w:val="00A02D3F"/>
    <w:rsid w:val="00A03620"/>
    <w:rsid w:val="00A0397A"/>
    <w:rsid w:val="00A06273"/>
    <w:rsid w:val="00A11376"/>
    <w:rsid w:val="00A118DB"/>
    <w:rsid w:val="00A11C61"/>
    <w:rsid w:val="00A12003"/>
    <w:rsid w:val="00A126CF"/>
    <w:rsid w:val="00A1281A"/>
    <w:rsid w:val="00A14A17"/>
    <w:rsid w:val="00A14B51"/>
    <w:rsid w:val="00A16E6D"/>
    <w:rsid w:val="00A200B7"/>
    <w:rsid w:val="00A20A9E"/>
    <w:rsid w:val="00A21095"/>
    <w:rsid w:val="00A243A0"/>
    <w:rsid w:val="00A2785E"/>
    <w:rsid w:val="00A27B8F"/>
    <w:rsid w:val="00A27F97"/>
    <w:rsid w:val="00A31CC2"/>
    <w:rsid w:val="00A33792"/>
    <w:rsid w:val="00A3396B"/>
    <w:rsid w:val="00A34AE8"/>
    <w:rsid w:val="00A350D1"/>
    <w:rsid w:val="00A36460"/>
    <w:rsid w:val="00A36781"/>
    <w:rsid w:val="00A367F2"/>
    <w:rsid w:val="00A41C7C"/>
    <w:rsid w:val="00A4429B"/>
    <w:rsid w:val="00A44A20"/>
    <w:rsid w:val="00A45256"/>
    <w:rsid w:val="00A45A7C"/>
    <w:rsid w:val="00A50603"/>
    <w:rsid w:val="00A51AEE"/>
    <w:rsid w:val="00A522EB"/>
    <w:rsid w:val="00A54358"/>
    <w:rsid w:val="00A5517C"/>
    <w:rsid w:val="00A55746"/>
    <w:rsid w:val="00A55AD3"/>
    <w:rsid w:val="00A567C1"/>
    <w:rsid w:val="00A56C9A"/>
    <w:rsid w:val="00A573B6"/>
    <w:rsid w:val="00A57F6B"/>
    <w:rsid w:val="00A628AB"/>
    <w:rsid w:val="00A64611"/>
    <w:rsid w:val="00A64FC7"/>
    <w:rsid w:val="00A65E2E"/>
    <w:rsid w:val="00A70C72"/>
    <w:rsid w:val="00A70E21"/>
    <w:rsid w:val="00A70EB4"/>
    <w:rsid w:val="00A7401A"/>
    <w:rsid w:val="00A75456"/>
    <w:rsid w:val="00A75F83"/>
    <w:rsid w:val="00A76659"/>
    <w:rsid w:val="00A76C6E"/>
    <w:rsid w:val="00A77327"/>
    <w:rsid w:val="00A77494"/>
    <w:rsid w:val="00A77C01"/>
    <w:rsid w:val="00A77D22"/>
    <w:rsid w:val="00A804A5"/>
    <w:rsid w:val="00A81026"/>
    <w:rsid w:val="00A8211A"/>
    <w:rsid w:val="00A84DCD"/>
    <w:rsid w:val="00A8556C"/>
    <w:rsid w:val="00A86144"/>
    <w:rsid w:val="00A86512"/>
    <w:rsid w:val="00A90A46"/>
    <w:rsid w:val="00A90C0B"/>
    <w:rsid w:val="00A913D0"/>
    <w:rsid w:val="00A914DA"/>
    <w:rsid w:val="00A93242"/>
    <w:rsid w:val="00A94AE0"/>
    <w:rsid w:val="00A96D95"/>
    <w:rsid w:val="00A976BB"/>
    <w:rsid w:val="00AA004B"/>
    <w:rsid w:val="00AA0BD9"/>
    <w:rsid w:val="00AA4522"/>
    <w:rsid w:val="00AA4976"/>
    <w:rsid w:val="00AA6F14"/>
    <w:rsid w:val="00AA7A06"/>
    <w:rsid w:val="00AB0C4A"/>
    <w:rsid w:val="00AB0DAE"/>
    <w:rsid w:val="00AB33FA"/>
    <w:rsid w:val="00AB4953"/>
    <w:rsid w:val="00AB4AF9"/>
    <w:rsid w:val="00AB58A0"/>
    <w:rsid w:val="00AB6B08"/>
    <w:rsid w:val="00AC20C4"/>
    <w:rsid w:val="00AC2E70"/>
    <w:rsid w:val="00AC3092"/>
    <w:rsid w:val="00AC5B84"/>
    <w:rsid w:val="00AC607C"/>
    <w:rsid w:val="00AC65C2"/>
    <w:rsid w:val="00AC6AD9"/>
    <w:rsid w:val="00AD08C4"/>
    <w:rsid w:val="00AD120D"/>
    <w:rsid w:val="00AD16FD"/>
    <w:rsid w:val="00AD2B43"/>
    <w:rsid w:val="00AD3CF2"/>
    <w:rsid w:val="00AD5FB4"/>
    <w:rsid w:val="00AE0633"/>
    <w:rsid w:val="00AE0E16"/>
    <w:rsid w:val="00AE1114"/>
    <w:rsid w:val="00AE1C5C"/>
    <w:rsid w:val="00AE3899"/>
    <w:rsid w:val="00AE60FF"/>
    <w:rsid w:val="00AF2DC2"/>
    <w:rsid w:val="00AF4532"/>
    <w:rsid w:val="00AF5535"/>
    <w:rsid w:val="00AF5BD0"/>
    <w:rsid w:val="00AF62C5"/>
    <w:rsid w:val="00AF75BD"/>
    <w:rsid w:val="00B00CD5"/>
    <w:rsid w:val="00B00E07"/>
    <w:rsid w:val="00B02157"/>
    <w:rsid w:val="00B0238D"/>
    <w:rsid w:val="00B02793"/>
    <w:rsid w:val="00B02D15"/>
    <w:rsid w:val="00B02EFB"/>
    <w:rsid w:val="00B04268"/>
    <w:rsid w:val="00B0443D"/>
    <w:rsid w:val="00B049C6"/>
    <w:rsid w:val="00B059FE"/>
    <w:rsid w:val="00B06465"/>
    <w:rsid w:val="00B07538"/>
    <w:rsid w:val="00B07F5F"/>
    <w:rsid w:val="00B10196"/>
    <w:rsid w:val="00B12F4D"/>
    <w:rsid w:val="00B13DBB"/>
    <w:rsid w:val="00B14A59"/>
    <w:rsid w:val="00B16494"/>
    <w:rsid w:val="00B171D2"/>
    <w:rsid w:val="00B172CA"/>
    <w:rsid w:val="00B208A7"/>
    <w:rsid w:val="00B20952"/>
    <w:rsid w:val="00B21B18"/>
    <w:rsid w:val="00B249E2"/>
    <w:rsid w:val="00B25500"/>
    <w:rsid w:val="00B2572E"/>
    <w:rsid w:val="00B25D31"/>
    <w:rsid w:val="00B261C7"/>
    <w:rsid w:val="00B27FB2"/>
    <w:rsid w:val="00B31BD1"/>
    <w:rsid w:val="00B31F36"/>
    <w:rsid w:val="00B34317"/>
    <w:rsid w:val="00B34C17"/>
    <w:rsid w:val="00B356A8"/>
    <w:rsid w:val="00B42B97"/>
    <w:rsid w:val="00B4319B"/>
    <w:rsid w:val="00B43986"/>
    <w:rsid w:val="00B45290"/>
    <w:rsid w:val="00B456AC"/>
    <w:rsid w:val="00B45B4C"/>
    <w:rsid w:val="00B4677D"/>
    <w:rsid w:val="00B50D7D"/>
    <w:rsid w:val="00B51A83"/>
    <w:rsid w:val="00B539C9"/>
    <w:rsid w:val="00B540A4"/>
    <w:rsid w:val="00B554F3"/>
    <w:rsid w:val="00B5574E"/>
    <w:rsid w:val="00B55787"/>
    <w:rsid w:val="00B55A48"/>
    <w:rsid w:val="00B5632C"/>
    <w:rsid w:val="00B563C9"/>
    <w:rsid w:val="00B62ACD"/>
    <w:rsid w:val="00B63E2F"/>
    <w:rsid w:val="00B6467F"/>
    <w:rsid w:val="00B64A9D"/>
    <w:rsid w:val="00B70070"/>
    <w:rsid w:val="00B700F4"/>
    <w:rsid w:val="00B72DB2"/>
    <w:rsid w:val="00B73093"/>
    <w:rsid w:val="00B73703"/>
    <w:rsid w:val="00B74883"/>
    <w:rsid w:val="00B762DE"/>
    <w:rsid w:val="00B82215"/>
    <w:rsid w:val="00B82E3E"/>
    <w:rsid w:val="00B83985"/>
    <w:rsid w:val="00B9105E"/>
    <w:rsid w:val="00B917F7"/>
    <w:rsid w:val="00B92096"/>
    <w:rsid w:val="00B9238A"/>
    <w:rsid w:val="00BA2529"/>
    <w:rsid w:val="00BA730C"/>
    <w:rsid w:val="00BA7ECC"/>
    <w:rsid w:val="00BB0E7C"/>
    <w:rsid w:val="00BB1DCD"/>
    <w:rsid w:val="00BB1F82"/>
    <w:rsid w:val="00BB3F9E"/>
    <w:rsid w:val="00BB584B"/>
    <w:rsid w:val="00BB6448"/>
    <w:rsid w:val="00BB64E9"/>
    <w:rsid w:val="00BB67DD"/>
    <w:rsid w:val="00BB75C5"/>
    <w:rsid w:val="00BC08E7"/>
    <w:rsid w:val="00BC1790"/>
    <w:rsid w:val="00BC2842"/>
    <w:rsid w:val="00BC36B8"/>
    <w:rsid w:val="00BC3C1E"/>
    <w:rsid w:val="00BC53F1"/>
    <w:rsid w:val="00BC5D58"/>
    <w:rsid w:val="00BD223F"/>
    <w:rsid w:val="00BD24B1"/>
    <w:rsid w:val="00BD24B2"/>
    <w:rsid w:val="00BD2813"/>
    <w:rsid w:val="00BD3624"/>
    <w:rsid w:val="00BD375B"/>
    <w:rsid w:val="00BD3C00"/>
    <w:rsid w:val="00BD413D"/>
    <w:rsid w:val="00BD587A"/>
    <w:rsid w:val="00BD5C3E"/>
    <w:rsid w:val="00BD6718"/>
    <w:rsid w:val="00BD7C10"/>
    <w:rsid w:val="00BE16A4"/>
    <w:rsid w:val="00BE39C4"/>
    <w:rsid w:val="00BE5131"/>
    <w:rsid w:val="00BE6315"/>
    <w:rsid w:val="00BE64E2"/>
    <w:rsid w:val="00BE67B1"/>
    <w:rsid w:val="00BE7937"/>
    <w:rsid w:val="00BE7BAC"/>
    <w:rsid w:val="00BE7D1F"/>
    <w:rsid w:val="00BF0196"/>
    <w:rsid w:val="00BF0E4F"/>
    <w:rsid w:val="00BF111E"/>
    <w:rsid w:val="00BF126C"/>
    <w:rsid w:val="00BF2B44"/>
    <w:rsid w:val="00BF59B9"/>
    <w:rsid w:val="00BF5A02"/>
    <w:rsid w:val="00BF7B5C"/>
    <w:rsid w:val="00C02103"/>
    <w:rsid w:val="00C0260C"/>
    <w:rsid w:val="00C030CA"/>
    <w:rsid w:val="00C066A6"/>
    <w:rsid w:val="00C06D86"/>
    <w:rsid w:val="00C07CB7"/>
    <w:rsid w:val="00C10B88"/>
    <w:rsid w:val="00C11A25"/>
    <w:rsid w:val="00C1256D"/>
    <w:rsid w:val="00C12666"/>
    <w:rsid w:val="00C159C7"/>
    <w:rsid w:val="00C17B8F"/>
    <w:rsid w:val="00C17F67"/>
    <w:rsid w:val="00C2041F"/>
    <w:rsid w:val="00C205FB"/>
    <w:rsid w:val="00C22688"/>
    <w:rsid w:val="00C22AD7"/>
    <w:rsid w:val="00C22DFC"/>
    <w:rsid w:val="00C24082"/>
    <w:rsid w:val="00C25A52"/>
    <w:rsid w:val="00C275D2"/>
    <w:rsid w:val="00C277FD"/>
    <w:rsid w:val="00C27AD6"/>
    <w:rsid w:val="00C27FC8"/>
    <w:rsid w:val="00C33A2F"/>
    <w:rsid w:val="00C34F3D"/>
    <w:rsid w:val="00C35E45"/>
    <w:rsid w:val="00C3627C"/>
    <w:rsid w:val="00C3643F"/>
    <w:rsid w:val="00C37F13"/>
    <w:rsid w:val="00C40342"/>
    <w:rsid w:val="00C404CD"/>
    <w:rsid w:val="00C4104A"/>
    <w:rsid w:val="00C44314"/>
    <w:rsid w:val="00C45681"/>
    <w:rsid w:val="00C466BF"/>
    <w:rsid w:val="00C50D2F"/>
    <w:rsid w:val="00C51369"/>
    <w:rsid w:val="00C518D1"/>
    <w:rsid w:val="00C51C94"/>
    <w:rsid w:val="00C52170"/>
    <w:rsid w:val="00C54C44"/>
    <w:rsid w:val="00C57E20"/>
    <w:rsid w:val="00C60B88"/>
    <w:rsid w:val="00C61089"/>
    <w:rsid w:val="00C61A6C"/>
    <w:rsid w:val="00C623BE"/>
    <w:rsid w:val="00C62991"/>
    <w:rsid w:val="00C63B05"/>
    <w:rsid w:val="00C65071"/>
    <w:rsid w:val="00C666B7"/>
    <w:rsid w:val="00C674B7"/>
    <w:rsid w:val="00C67505"/>
    <w:rsid w:val="00C6778C"/>
    <w:rsid w:val="00C736B2"/>
    <w:rsid w:val="00C736BF"/>
    <w:rsid w:val="00C74981"/>
    <w:rsid w:val="00C760F7"/>
    <w:rsid w:val="00C76C34"/>
    <w:rsid w:val="00C779EA"/>
    <w:rsid w:val="00C80AEA"/>
    <w:rsid w:val="00C81FE0"/>
    <w:rsid w:val="00C82660"/>
    <w:rsid w:val="00C838B2"/>
    <w:rsid w:val="00C84FCE"/>
    <w:rsid w:val="00C85A87"/>
    <w:rsid w:val="00C909BC"/>
    <w:rsid w:val="00C90E0B"/>
    <w:rsid w:val="00C91694"/>
    <w:rsid w:val="00C945AA"/>
    <w:rsid w:val="00C94818"/>
    <w:rsid w:val="00CA0113"/>
    <w:rsid w:val="00CA01E4"/>
    <w:rsid w:val="00CA026A"/>
    <w:rsid w:val="00CA05D1"/>
    <w:rsid w:val="00CA14A4"/>
    <w:rsid w:val="00CA43E7"/>
    <w:rsid w:val="00CA4BAD"/>
    <w:rsid w:val="00CA4CF2"/>
    <w:rsid w:val="00CA4D17"/>
    <w:rsid w:val="00CA4EC7"/>
    <w:rsid w:val="00CA62F9"/>
    <w:rsid w:val="00CA6729"/>
    <w:rsid w:val="00CB09A7"/>
    <w:rsid w:val="00CB3F0B"/>
    <w:rsid w:val="00CB3F1A"/>
    <w:rsid w:val="00CB41DE"/>
    <w:rsid w:val="00CB44FB"/>
    <w:rsid w:val="00CB5032"/>
    <w:rsid w:val="00CB7A2E"/>
    <w:rsid w:val="00CC01C5"/>
    <w:rsid w:val="00CC028E"/>
    <w:rsid w:val="00CC0378"/>
    <w:rsid w:val="00CC0ED2"/>
    <w:rsid w:val="00CC2B6B"/>
    <w:rsid w:val="00CC2D05"/>
    <w:rsid w:val="00CC2E98"/>
    <w:rsid w:val="00CC2FA8"/>
    <w:rsid w:val="00CC4605"/>
    <w:rsid w:val="00CC4D5E"/>
    <w:rsid w:val="00CC50CC"/>
    <w:rsid w:val="00CC52B3"/>
    <w:rsid w:val="00CC5B80"/>
    <w:rsid w:val="00CC675D"/>
    <w:rsid w:val="00CD3606"/>
    <w:rsid w:val="00CD5D9B"/>
    <w:rsid w:val="00CD6B9F"/>
    <w:rsid w:val="00CE140B"/>
    <w:rsid w:val="00CE43E5"/>
    <w:rsid w:val="00CE521B"/>
    <w:rsid w:val="00CE555A"/>
    <w:rsid w:val="00CE588B"/>
    <w:rsid w:val="00CE79A9"/>
    <w:rsid w:val="00CF0024"/>
    <w:rsid w:val="00CF2813"/>
    <w:rsid w:val="00CF396A"/>
    <w:rsid w:val="00CF60F5"/>
    <w:rsid w:val="00CF610C"/>
    <w:rsid w:val="00CF75F2"/>
    <w:rsid w:val="00D018E6"/>
    <w:rsid w:val="00D0525D"/>
    <w:rsid w:val="00D076D7"/>
    <w:rsid w:val="00D07F7E"/>
    <w:rsid w:val="00D122AF"/>
    <w:rsid w:val="00D13B8A"/>
    <w:rsid w:val="00D1432E"/>
    <w:rsid w:val="00D15D2F"/>
    <w:rsid w:val="00D160B9"/>
    <w:rsid w:val="00D16840"/>
    <w:rsid w:val="00D17666"/>
    <w:rsid w:val="00D178DC"/>
    <w:rsid w:val="00D22709"/>
    <w:rsid w:val="00D22EC6"/>
    <w:rsid w:val="00D27CFC"/>
    <w:rsid w:val="00D315CC"/>
    <w:rsid w:val="00D31F02"/>
    <w:rsid w:val="00D33374"/>
    <w:rsid w:val="00D3427C"/>
    <w:rsid w:val="00D34700"/>
    <w:rsid w:val="00D40822"/>
    <w:rsid w:val="00D4137E"/>
    <w:rsid w:val="00D44900"/>
    <w:rsid w:val="00D44F01"/>
    <w:rsid w:val="00D45F90"/>
    <w:rsid w:val="00D46643"/>
    <w:rsid w:val="00D47B54"/>
    <w:rsid w:val="00D51492"/>
    <w:rsid w:val="00D532EB"/>
    <w:rsid w:val="00D53B7A"/>
    <w:rsid w:val="00D54121"/>
    <w:rsid w:val="00D55005"/>
    <w:rsid w:val="00D56C97"/>
    <w:rsid w:val="00D60CB2"/>
    <w:rsid w:val="00D6192B"/>
    <w:rsid w:val="00D61C8C"/>
    <w:rsid w:val="00D62DC4"/>
    <w:rsid w:val="00D63578"/>
    <w:rsid w:val="00D63A0D"/>
    <w:rsid w:val="00D6452A"/>
    <w:rsid w:val="00D64706"/>
    <w:rsid w:val="00D65818"/>
    <w:rsid w:val="00D67575"/>
    <w:rsid w:val="00D71164"/>
    <w:rsid w:val="00D72391"/>
    <w:rsid w:val="00D76423"/>
    <w:rsid w:val="00D768F5"/>
    <w:rsid w:val="00D77E0B"/>
    <w:rsid w:val="00D8149B"/>
    <w:rsid w:val="00D815C8"/>
    <w:rsid w:val="00D87940"/>
    <w:rsid w:val="00D90C6A"/>
    <w:rsid w:val="00D90DB9"/>
    <w:rsid w:val="00D91C6F"/>
    <w:rsid w:val="00D91E21"/>
    <w:rsid w:val="00D92091"/>
    <w:rsid w:val="00D93967"/>
    <w:rsid w:val="00D93F64"/>
    <w:rsid w:val="00D946A0"/>
    <w:rsid w:val="00D956B9"/>
    <w:rsid w:val="00D96290"/>
    <w:rsid w:val="00D9721C"/>
    <w:rsid w:val="00D97D4C"/>
    <w:rsid w:val="00D97E06"/>
    <w:rsid w:val="00DA1A4C"/>
    <w:rsid w:val="00DA301D"/>
    <w:rsid w:val="00DA3D39"/>
    <w:rsid w:val="00DA44B8"/>
    <w:rsid w:val="00DA536B"/>
    <w:rsid w:val="00DA64BC"/>
    <w:rsid w:val="00DA705A"/>
    <w:rsid w:val="00DB34C3"/>
    <w:rsid w:val="00DB3E82"/>
    <w:rsid w:val="00DB7EB9"/>
    <w:rsid w:val="00DB7F58"/>
    <w:rsid w:val="00DC1000"/>
    <w:rsid w:val="00DC3264"/>
    <w:rsid w:val="00DC426F"/>
    <w:rsid w:val="00DC4386"/>
    <w:rsid w:val="00DC4994"/>
    <w:rsid w:val="00DC7283"/>
    <w:rsid w:val="00DD0339"/>
    <w:rsid w:val="00DD09A9"/>
    <w:rsid w:val="00DD11DD"/>
    <w:rsid w:val="00DD2D7D"/>
    <w:rsid w:val="00DD307E"/>
    <w:rsid w:val="00DD5AFE"/>
    <w:rsid w:val="00DD6914"/>
    <w:rsid w:val="00DD69F5"/>
    <w:rsid w:val="00DD6DFE"/>
    <w:rsid w:val="00DE3727"/>
    <w:rsid w:val="00DE3BCE"/>
    <w:rsid w:val="00DE3EF1"/>
    <w:rsid w:val="00DE40C4"/>
    <w:rsid w:val="00DE41C9"/>
    <w:rsid w:val="00DE599B"/>
    <w:rsid w:val="00DE67FD"/>
    <w:rsid w:val="00DE6B2B"/>
    <w:rsid w:val="00DE7A6C"/>
    <w:rsid w:val="00DF034A"/>
    <w:rsid w:val="00DF11C4"/>
    <w:rsid w:val="00DF2BAE"/>
    <w:rsid w:val="00DF4A9C"/>
    <w:rsid w:val="00DF5288"/>
    <w:rsid w:val="00DF5C94"/>
    <w:rsid w:val="00DF624B"/>
    <w:rsid w:val="00DF63B3"/>
    <w:rsid w:val="00DF67FE"/>
    <w:rsid w:val="00DF7DF2"/>
    <w:rsid w:val="00E00120"/>
    <w:rsid w:val="00E005FE"/>
    <w:rsid w:val="00E11A52"/>
    <w:rsid w:val="00E125F7"/>
    <w:rsid w:val="00E171F4"/>
    <w:rsid w:val="00E17E88"/>
    <w:rsid w:val="00E20CED"/>
    <w:rsid w:val="00E20E7D"/>
    <w:rsid w:val="00E214D1"/>
    <w:rsid w:val="00E21CDD"/>
    <w:rsid w:val="00E22379"/>
    <w:rsid w:val="00E22CAA"/>
    <w:rsid w:val="00E256D8"/>
    <w:rsid w:val="00E25A84"/>
    <w:rsid w:val="00E27465"/>
    <w:rsid w:val="00E27704"/>
    <w:rsid w:val="00E309BD"/>
    <w:rsid w:val="00E30AD4"/>
    <w:rsid w:val="00E3642A"/>
    <w:rsid w:val="00E37B8D"/>
    <w:rsid w:val="00E37F9A"/>
    <w:rsid w:val="00E421D9"/>
    <w:rsid w:val="00E42A6D"/>
    <w:rsid w:val="00E444EA"/>
    <w:rsid w:val="00E44D36"/>
    <w:rsid w:val="00E44EE0"/>
    <w:rsid w:val="00E4766E"/>
    <w:rsid w:val="00E47A32"/>
    <w:rsid w:val="00E50465"/>
    <w:rsid w:val="00E524FA"/>
    <w:rsid w:val="00E52826"/>
    <w:rsid w:val="00E54BC8"/>
    <w:rsid w:val="00E54D0A"/>
    <w:rsid w:val="00E55B6A"/>
    <w:rsid w:val="00E56792"/>
    <w:rsid w:val="00E60147"/>
    <w:rsid w:val="00E606D8"/>
    <w:rsid w:val="00E60A61"/>
    <w:rsid w:val="00E63101"/>
    <w:rsid w:val="00E67D2E"/>
    <w:rsid w:val="00E70465"/>
    <w:rsid w:val="00E705D3"/>
    <w:rsid w:val="00E743EB"/>
    <w:rsid w:val="00E74BDD"/>
    <w:rsid w:val="00E75189"/>
    <w:rsid w:val="00E763B1"/>
    <w:rsid w:val="00E80755"/>
    <w:rsid w:val="00E8130C"/>
    <w:rsid w:val="00E8134D"/>
    <w:rsid w:val="00E82059"/>
    <w:rsid w:val="00E853B0"/>
    <w:rsid w:val="00E87AAC"/>
    <w:rsid w:val="00E9186E"/>
    <w:rsid w:val="00E93702"/>
    <w:rsid w:val="00E9769B"/>
    <w:rsid w:val="00E97A54"/>
    <w:rsid w:val="00EA0DB1"/>
    <w:rsid w:val="00EA15E2"/>
    <w:rsid w:val="00EA493A"/>
    <w:rsid w:val="00EA74EF"/>
    <w:rsid w:val="00EB1442"/>
    <w:rsid w:val="00EB2001"/>
    <w:rsid w:val="00EB2D39"/>
    <w:rsid w:val="00EB3628"/>
    <w:rsid w:val="00EB5BA9"/>
    <w:rsid w:val="00EB5DD9"/>
    <w:rsid w:val="00EB666E"/>
    <w:rsid w:val="00EB6B1B"/>
    <w:rsid w:val="00EC42B3"/>
    <w:rsid w:val="00EC4896"/>
    <w:rsid w:val="00EC6B6D"/>
    <w:rsid w:val="00EC7043"/>
    <w:rsid w:val="00ED08C5"/>
    <w:rsid w:val="00ED09D8"/>
    <w:rsid w:val="00ED14DE"/>
    <w:rsid w:val="00ED1999"/>
    <w:rsid w:val="00ED21FC"/>
    <w:rsid w:val="00ED2B7A"/>
    <w:rsid w:val="00ED4F71"/>
    <w:rsid w:val="00ED5BFE"/>
    <w:rsid w:val="00ED6F5B"/>
    <w:rsid w:val="00ED7355"/>
    <w:rsid w:val="00ED735D"/>
    <w:rsid w:val="00EE2FE8"/>
    <w:rsid w:val="00EE3106"/>
    <w:rsid w:val="00EE3860"/>
    <w:rsid w:val="00EF14AC"/>
    <w:rsid w:val="00EF1FBB"/>
    <w:rsid w:val="00EF2198"/>
    <w:rsid w:val="00EF22B3"/>
    <w:rsid w:val="00F00C5F"/>
    <w:rsid w:val="00F019F5"/>
    <w:rsid w:val="00F02715"/>
    <w:rsid w:val="00F0275D"/>
    <w:rsid w:val="00F031F8"/>
    <w:rsid w:val="00F03749"/>
    <w:rsid w:val="00F03844"/>
    <w:rsid w:val="00F0569A"/>
    <w:rsid w:val="00F05A7F"/>
    <w:rsid w:val="00F06138"/>
    <w:rsid w:val="00F100E3"/>
    <w:rsid w:val="00F10CA6"/>
    <w:rsid w:val="00F127EA"/>
    <w:rsid w:val="00F12EA8"/>
    <w:rsid w:val="00F1309E"/>
    <w:rsid w:val="00F146B8"/>
    <w:rsid w:val="00F1649D"/>
    <w:rsid w:val="00F1694C"/>
    <w:rsid w:val="00F16AAC"/>
    <w:rsid w:val="00F16CCB"/>
    <w:rsid w:val="00F23557"/>
    <w:rsid w:val="00F24105"/>
    <w:rsid w:val="00F24693"/>
    <w:rsid w:val="00F2547F"/>
    <w:rsid w:val="00F25E76"/>
    <w:rsid w:val="00F33B66"/>
    <w:rsid w:val="00F343E9"/>
    <w:rsid w:val="00F34BDF"/>
    <w:rsid w:val="00F35110"/>
    <w:rsid w:val="00F40C7E"/>
    <w:rsid w:val="00F41FBC"/>
    <w:rsid w:val="00F439A8"/>
    <w:rsid w:val="00F452B4"/>
    <w:rsid w:val="00F452C1"/>
    <w:rsid w:val="00F45AF4"/>
    <w:rsid w:val="00F461C1"/>
    <w:rsid w:val="00F46697"/>
    <w:rsid w:val="00F47D70"/>
    <w:rsid w:val="00F505B0"/>
    <w:rsid w:val="00F56BF7"/>
    <w:rsid w:val="00F56DCC"/>
    <w:rsid w:val="00F56EDA"/>
    <w:rsid w:val="00F573C7"/>
    <w:rsid w:val="00F606AB"/>
    <w:rsid w:val="00F60B42"/>
    <w:rsid w:val="00F60C74"/>
    <w:rsid w:val="00F621FB"/>
    <w:rsid w:val="00F629F9"/>
    <w:rsid w:val="00F63130"/>
    <w:rsid w:val="00F64398"/>
    <w:rsid w:val="00F648B9"/>
    <w:rsid w:val="00F663D2"/>
    <w:rsid w:val="00F70001"/>
    <w:rsid w:val="00F70C9C"/>
    <w:rsid w:val="00F715C3"/>
    <w:rsid w:val="00F72406"/>
    <w:rsid w:val="00F726BF"/>
    <w:rsid w:val="00F738F3"/>
    <w:rsid w:val="00F74994"/>
    <w:rsid w:val="00F75BDF"/>
    <w:rsid w:val="00F75C1B"/>
    <w:rsid w:val="00F75F23"/>
    <w:rsid w:val="00F778CA"/>
    <w:rsid w:val="00F81B61"/>
    <w:rsid w:val="00F81FB1"/>
    <w:rsid w:val="00F8270C"/>
    <w:rsid w:val="00F861A3"/>
    <w:rsid w:val="00F864CB"/>
    <w:rsid w:val="00F90D20"/>
    <w:rsid w:val="00F93933"/>
    <w:rsid w:val="00F96C4E"/>
    <w:rsid w:val="00FA00AB"/>
    <w:rsid w:val="00FA2F2E"/>
    <w:rsid w:val="00FA3EAD"/>
    <w:rsid w:val="00FA4E06"/>
    <w:rsid w:val="00FB0126"/>
    <w:rsid w:val="00FB0375"/>
    <w:rsid w:val="00FB1AE7"/>
    <w:rsid w:val="00FB1F8D"/>
    <w:rsid w:val="00FB6026"/>
    <w:rsid w:val="00FB6963"/>
    <w:rsid w:val="00FB7EC2"/>
    <w:rsid w:val="00FC09AA"/>
    <w:rsid w:val="00FC21E4"/>
    <w:rsid w:val="00FC3718"/>
    <w:rsid w:val="00FC517F"/>
    <w:rsid w:val="00FC67D2"/>
    <w:rsid w:val="00FC71DC"/>
    <w:rsid w:val="00FC79CC"/>
    <w:rsid w:val="00FC7A1A"/>
    <w:rsid w:val="00FC7A31"/>
    <w:rsid w:val="00FD248C"/>
    <w:rsid w:val="00FD5410"/>
    <w:rsid w:val="00FD640B"/>
    <w:rsid w:val="00FD65EF"/>
    <w:rsid w:val="00FD6AC1"/>
    <w:rsid w:val="00FE13CE"/>
    <w:rsid w:val="00FE1B81"/>
    <w:rsid w:val="00FE23B3"/>
    <w:rsid w:val="00FE625D"/>
    <w:rsid w:val="00FE7D63"/>
    <w:rsid w:val="00FF0B59"/>
    <w:rsid w:val="00FF16D7"/>
    <w:rsid w:val="00FF1BAB"/>
    <w:rsid w:val="00FF2F0E"/>
    <w:rsid w:val="00FF307C"/>
    <w:rsid w:val="00FF3418"/>
    <w:rsid w:val="00FF401B"/>
    <w:rsid w:val="00FF547F"/>
    <w:rsid w:val="00FF64E0"/>
    <w:rsid w:val="00FF6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3" fillcolor="#00b8dd" stroke="f">
      <v:fill color="#00b8dd"/>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554B"/>
    <w:pPr>
      <w:keepLines/>
      <w:spacing w:after="240" w:line="312" w:lineRule="auto"/>
    </w:pPr>
    <w:rPr>
      <w:rFonts w:ascii="Arial" w:eastAsia="Lato" w:hAnsi="Arial" w:cs="Arial"/>
      <w:color w:val="231F20"/>
      <w:spacing w:val="-2"/>
    </w:rPr>
  </w:style>
  <w:style w:type="paragraph" w:styleId="Heading1">
    <w:name w:val="heading 1"/>
    <w:basedOn w:val="Normal"/>
    <w:link w:val="Heading1Char"/>
    <w:uiPriority w:val="9"/>
    <w:qFormat/>
    <w:rsid w:val="000F6BAD"/>
    <w:pPr>
      <w:keepNext/>
      <w:pageBreakBefore/>
      <w:outlineLvl w:val="0"/>
    </w:pPr>
    <w:rPr>
      <w:rFonts w:eastAsia="Lato Light"/>
      <w:color w:val="262626" w:themeColor="text1" w:themeTint="D9"/>
      <w:spacing w:val="-1"/>
      <w:sz w:val="60"/>
      <w:szCs w:val="60"/>
    </w:rPr>
  </w:style>
  <w:style w:type="paragraph" w:styleId="Heading2">
    <w:name w:val="heading 2"/>
    <w:basedOn w:val="Normal"/>
    <w:uiPriority w:val="1"/>
    <w:qFormat/>
    <w:rsid w:val="00B73093"/>
    <w:pPr>
      <w:keepNext/>
      <w:spacing w:before="360"/>
      <w:outlineLvl w:val="1"/>
    </w:pPr>
    <w:rPr>
      <w:rFonts w:eastAsia="Lato Light"/>
      <w:color w:val="262626" w:themeColor="text1" w:themeTint="D9"/>
      <w:sz w:val="36"/>
      <w:szCs w:val="36"/>
    </w:rPr>
  </w:style>
  <w:style w:type="paragraph" w:styleId="Heading3">
    <w:name w:val="heading 3"/>
    <w:basedOn w:val="Normal"/>
    <w:uiPriority w:val="1"/>
    <w:qFormat/>
    <w:rsid w:val="003E43FC"/>
    <w:pPr>
      <w:keepNext/>
      <w:spacing w:before="50"/>
      <w:ind w:left="851"/>
      <w:outlineLvl w:val="2"/>
    </w:pPr>
    <w:rPr>
      <w:color w:val="53565A"/>
      <w:sz w:val="30"/>
      <w:szCs w:val="30"/>
    </w:rPr>
  </w:style>
  <w:style w:type="paragraph" w:styleId="Heading4">
    <w:name w:val="heading 4"/>
    <w:basedOn w:val="Normal"/>
    <w:uiPriority w:val="1"/>
    <w:qFormat/>
    <w:rsid w:val="00F46697"/>
    <w:pPr>
      <w:spacing w:before="60"/>
      <w:ind w:left="851"/>
      <w:outlineLvl w:val="3"/>
    </w:pPr>
    <w:rPr>
      <w:rFonts w:ascii="Lato Black" w:eastAsia="Lato Black" w:hAnsi="Lato Black"/>
      <w:bCs/>
    </w:rPr>
  </w:style>
  <w:style w:type="paragraph" w:styleId="Heading5">
    <w:name w:val="heading 5"/>
    <w:basedOn w:val="Normal"/>
    <w:uiPriority w:val="1"/>
    <w:qFormat/>
    <w:rsid w:val="00442830"/>
    <w:pPr>
      <w:spacing w:before="60"/>
      <w:ind w:left="850"/>
      <w:outlineLvl w:val="4"/>
    </w:pPr>
    <w:rPr>
      <w:i/>
    </w:rPr>
  </w:style>
  <w:style w:type="paragraph" w:styleId="Heading6">
    <w:name w:val="heading 6"/>
    <w:basedOn w:val="Normal"/>
    <w:uiPriority w:val="1"/>
    <w:qFormat/>
    <w:rsid w:val="00442830"/>
    <w:pPr>
      <w:spacing w:before="67"/>
      <w:ind w:left="1499"/>
      <w:outlineLvl w:val="5"/>
    </w:pPr>
    <w:rPr>
      <w:rFonts w:ascii="Lato Black" w:eastAsia="Lato Black" w:hAnsi="Lato Black"/>
      <w:b/>
      <w:bCs/>
    </w:rPr>
  </w:style>
  <w:style w:type="paragraph" w:styleId="Heading7">
    <w:name w:val="heading 7"/>
    <w:basedOn w:val="Normal"/>
    <w:uiPriority w:val="1"/>
    <w:qFormat/>
    <w:rsid w:val="00442830"/>
    <w:pPr>
      <w:ind w:left="856"/>
      <w:outlineLvl w:val="6"/>
    </w:pPr>
    <w:rPr>
      <w:rFonts w:ascii="Lato Black" w:eastAsia="Lato Black" w:hAnsi="Lato Black"/>
      <w:b/>
      <w:bCs/>
    </w:rPr>
  </w:style>
  <w:style w:type="paragraph" w:styleId="Heading8">
    <w:name w:val="heading 8"/>
    <w:basedOn w:val="Normal"/>
    <w:uiPriority w:val="1"/>
    <w:qFormat/>
    <w:rsid w:val="00442830"/>
    <w:pPr>
      <w:outlineLvl w:val="7"/>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42830"/>
    <w:pPr>
      <w:widowControl w:val="0"/>
    </w:pPr>
    <w:rPr>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uiPriority w:val="1"/>
    <w:qFormat/>
    <w:rsid w:val="00C466BF"/>
    <w:pPr>
      <w:spacing w:line="288" w:lineRule="auto"/>
    </w:pPr>
  </w:style>
  <w:style w:type="paragraph" w:styleId="ListParagraph">
    <w:name w:val="List Paragraph"/>
    <w:basedOn w:val="Normal"/>
    <w:link w:val="ListParagraphChar"/>
    <w:uiPriority w:val="34"/>
    <w:qFormat/>
    <w:rsid w:val="002F27A9"/>
    <w:pPr>
      <w:numPr>
        <w:numId w:val="2"/>
      </w:numPr>
      <w:spacing w:after="120"/>
      <w:ind w:left="357" w:hanging="357"/>
    </w:pPr>
  </w:style>
  <w:style w:type="paragraph" w:customStyle="1" w:styleId="TableParagraph">
    <w:name w:val="Table Paragraph"/>
    <w:basedOn w:val="Normal"/>
    <w:uiPriority w:val="1"/>
    <w:qFormat/>
    <w:rsid w:val="00442830"/>
  </w:style>
  <w:style w:type="paragraph" w:styleId="TOCHeading">
    <w:name w:val="TOC Heading"/>
    <w:basedOn w:val="Heading1"/>
    <w:next w:val="Normal"/>
    <w:uiPriority w:val="39"/>
    <w:semiHidden/>
    <w:unhideWhenUsed/>
    <w:qFormat/>
    <w:rsid w:val="004C5E5F"/>
    <w:pPr>
      <w:spacing w:line="276" w:lineRule="auto"/>
      <w:outlineLvl w:val="9"/>
    </w:pPr>
    <w:rPr>
      <w:rFonts w:ascii="Cambria" w:eastAsia="MS Gothic" w:hAnsi="Cambria"/>
      <w:b/>
      <w:bCs/>
      <w:color w:val="365F91"/>
      <w:sz w:val="28"/>
      <w:szCs w:val="28"/>
      <w:lang w:eastAsia="ja-JP"/>
    </w:rPr>
  </w:style>
  <w:style w:type="paragraph" w:styleId="TOC1">
    <w:name w:val="toc 1"/>
    <w:basedOn w:val="Normal"/>
    <w:next w:val="Normal"/>
    <w:autoRedefine/>
    <w:uiPriority w:val="39"/>
    <w:unhideWhenUsed/>
    <w:rsid w:val="00E705D3"/>
    <w:pPr>
      <w:tabs>
        <w:tab w:val="right" w:leader="dot" w:pos="9356"/>
      </w:tabs>
      <w:spacing w:after="180" w:line="240" w:lineRule="auto"/>
      <w:ind w:left="567" w:right="567"/>
      <w:jc w:val="both"/>
    </w:pPr>
  </w:style>
  <w:style w:type="paragraph" w:styleId="TOC3">
    <w:name w:val="toc 3"/>
    <w:basedOn w:val="Normal"/>
    <w:next w:val="Normal"/>
    <w:autoRedefine/>
    <w:uiPriority w:val="39"/>
    <w:unhideWhenUsed/>
    <w:rsid w:val="004C5E5F"/>
    <w:pPr>
      <w:ind w:left="440"/>
    </w:pPr>
  </w:style>
  <w:style w:type="paragraph" w:styleId="TOC2">
    <w:name w:val="toc 2"/>
    <w:basedOn w:val="Normal"/>
    <w:next w:val="Normal"/>
    <w:autoRedefine/>
    <w:uiPriority w:val="39"/>
    <w:unhideWhenUsed/>
    <w:rsid w:val="004C5E5F"/>
    <w:pPr>
      <w:ind w:left="220"/>
    </w:pPr>
  </w:style>
  <w:style w:type="character" w:styleId="Hyperlink">
    <w:name w:val="Hyperlink"/>
    <w:uiPriority w:val="99"/>
    <w:unhideWhenUsed/>
    <w:rsid w:val="004C5E5F"/>
    <w:rPr>
      <w:color w:val="0000FF"/>
      <w:u w:val="single"/>
    </w:rPr>
  </w:style>
  <w:style w:type="paragraph" w:styleId="Header">
    <w:name w:val="header"/>
    <w:basedOn w:val="Normal"/>
    <w:link w:val="HeaderChar"/>
    <w:uiPriority w:val="99"/>
    <w:unhideWhenUsed/>
    <w:rsid w:val="004C5E5F"/>
    <w:pPr>
      <w:tabs>
        <w:tab w:val="center" w:pos="4513"/>
        <w:tab w:val="right" w:pos="9026"/>
      </w:tabs>
    </w:pPr>
  </w:style>
  <w:style w:type="character" w:customStyle="1" w:styleId="HeaderChar">
    <w:name w:val="Header Char"/>
    <w:link w:val="Header"/>
    <w:uiPriority w:val="99"/>
    <w:rsid w:val="004C5E5F"/>
    <w:rPr>
      <w:sz w:val="22"/>
      <w:szCs w:val="22"/>
      <w:lang w:val="en-US" w:eastAsia="en-US"/>
    </w:rPr>
  </w:style>
  <w:style w:type="paragraph" w:styleId="Footer">
    <w:name w:val="footer"/>
    <w:basedOn w:val="Header"/>
    <w:link w:val="FooterChar"/>
    <w:uiPriority w:val="99"/>
    <w:unhideWhenUsed/>
    <w:rsid w:val="00DB7EB9"/>
    <w:rPr>
      <w:sz w:val="12"/>
    </w:rPr>
  </w:style>
  <w:style w:type="character" w:customStyle="1" w:styleId="FooterChar">
    <w:name w:val="Footer Char"/>
    <w:link w:val="Footer"/>
    <w:uiPriority w:val="99"/>
    <w:rsid w:val="00DB7EB9"/>
    <w:rPr>
      <w:rFonts w:ascii="Lato" w:eastAsia="Lato" w:hAnsi="Lato"/>
      <w:color w:val="231F20"/>
      <w:spacing w:val="-2"/>
      <w:sz w:val="12"/>
      <w:szCs w:val="18"/>
      <w:lang w:val="en-US" w:eastAsia="en-US"/>
    </w:rPr>
  </w:style>
  <w:style w:type="paragraph" w:styleId="Title">
    <w:name w:val="Title"/>
    <w:basedOn w:val="Normal"/>
    <w:next w:val="Normal"/>
    <w:link w:val="TitleChar"/>
    <w:uiPriority w:val="10"/>
    <w:qFormat/>
    <w:rsid w:val="002F27A9"/>
    <w:pPr>
      <w:spacing w:before="54"/>
      <w:ind w:left="706"/>
    </w:pPr>
    <w:rPr>
      <w:color w:val="auto"/>
      <w:sz w:val="54"/>
    </w:rPr>
  </w:style>
  <w:style w:type="character" w:customStyle="1" w:styleId="TitleChar">
    <w:name w:val="Title Char"/>
    <w:link w:val="Title"/>
    <w:uiPriority w:val="10"/>
    <w:rsid w:val="002F27A9"/>
    <w:rPr>
      <w:rFonts w:ascii="Arial" w:eastAsia="Lato" w:hAnsi="Arial" w:cs="Arial"/>
      <w:spacing w:val="-2"/>
      <w:sz w:val="54"/>
    </w:rPr>
  </w:style>
  <w:style w:type="paragraph" w:styleId="Subtitle">
    <w:name w:val="Subtitle"/>
    <w:basedOn w:val="Normal"/>
    <w:next w:val="Normal"/>
    <w:link w:val="SubtitleChar"/>
    <w:uiPriority w:val="11"/>
    <w:qFormat/>
    <w:rsid w:val="00922C30"/>
    <w:pPr>
      <w:framePr w:hSpace="180" w:wrap="around" w:vAnchor="text" w:hAnchor="margin" w:x="817" w:y="2337"/>
      <w:spacing w:before="64"/>
      <w:ind w:left="706"/>
      <w:suppressOverlap/>
    </w:pPr>
    <w:rPr>
      <w:color w:val="FFFFFF"/>
      <w:spacing w:val="-1"/>
      <w:sz w:val="38"/>
    </w:rPr>
  </w:style>
  <w:style w:type="character" w:customStyle="1" w:styleId="SubtitleChar">
    <w:name w:val="Subtitle Char"/>
    <w:link w:val="Subtitle"/>
    <w:uiPriority w:val="11"/>
    <w:rsid w:val="00922C30"/>
    <w:rPr>
      <w:rFonts w:ascii="Lato" w:eastAsia="Lato" w:hAnsi="Lato"/>
      <w:color w:val="FFFFFF"/>
      <w:spacing w:val="-1"/>
      <w:sz w:val="38"/>
      <w:szCs w:val="18"/>
      <w:lang w:eastAsia="en-US"/>
    </w:rPr>
  </w:style>
  <w:style w:type="character" w:styleId="SubtleEmphasis">
    <w:name w:val="Subtle Emphasis"/>
    <w:uiPriority w:val="19"/>
    <w:qFormat/>
    <w:rsid w:val="004C5E5F"/>
    <w:rPr>
      <w:color w:val="FFFFFF"/>
    </w:rPr>
  </w:style>
  <w:style w:type="character" w:styleId="Emphasis">
    <w:name w:val="Emphasis"/>
    <w:uiPriority w:val="20"/>
    <w:qFormat/>
    <w:rsid w:val="009F0FF4"/>
    <w:rPr>
      <w:rFonts w:ascii="Arial" w:hAnsi="Arial"/>
      <w:color w:val="auto"/>
      <w:sz w:val="28"/>
    </w:rPr>
  </w:style>
  <w:style w:type="character" w:styleId="IntenseEmphasis">
    <w:name w:val="Intense Emphasis"/>
    <w:uiPriority w:val="21"/>
    <w:qFormat/>
    <w:rsid w:val="00473624"/>
    <w:rPr>
      <w:b/>
      <w:bCs/>
      <w:i/>
      <w:iCs/>
      <w:color w:val="4F81BD"/>
    </w:rPr>
  </w:style>
  <w:style w:type="paragraph" w:styleId="IntenseQuote">
    <w:name w:val="Intense Quote"/>
    <w:basedOn w:val="Normal"/>
    <w:next w:val="Normal"/>
    <w:link w:val="IntenseQuoteChar"/>
    <w:uiPriority w:val="30"/>
    <w:qFormat/>
    <w:rsid w:val="0047362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73624"/>
    <w:rPr>
      <w:b/>
      <w:bCs/>
      <w:i/>
      <w:iCs/>
      <w:color w:val="4F81BD"/>
      <w:sz w:val="22"/>
      <w:szCs w:val="22"/>
      <w:lang w:val="en-US" w:eastAsia="en-US"/>
    </w:rPr>
  </w:style>
  <w:style w:type="table" w:styleId="TableGrid">
    <w:name w:val="Table Grid"/>
    <w:basedOn w:val="TableNormal"/>
    <w:uiPriority w:val="39"/>
    <w:rsid w:val="0047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7D70"/>
    <w:pPr>
      <w:spacing w:line="240" w:lineRule="auto"/>
    </w:pPr>
    <w:rPr>
      <w:rFonts w:ascii="Tahoma" w:hAnsi="Tahoma" w:cs="Tahoma"/>
      <w:sz w:val="16"/>
      <w:szCs w:val="16"/>
    </w:rPr>
  </w:style>
  <w:style w:type="character" w:customStyle="1" w:styleId="BalloonTextChar">
    <w:name w:val="Balloon Text Char"/>
    <w:link w:val="BalloonText"/>
    <w:semiHidden/>
    <w:rsid w:val="00F47D70"/>
    <w:rPr>
      <w:rFonts w:ascii="Tahoma" w:eastAsia="Lato" w:hAnsi="Tahoma" w:cs="Tahoma"/>
      <w:color w:val="231F20"/>
      <w:spacing w:val="-2"/>
      <w:sz w:val="16"/>
      <w:szCs w:val="16"/>
      <w:lang w:val="en-US" w:eastAsia="en-US"/>
    </w:rPr>
  </w:style>
  <w:style w:type="paragraph" w:styleId="NoSpacing">
    <w:name w:val="No Spacing"/>
    <w:uiPriority w:val="1"/>
    <w:qFormat/>
    <w:rsid w:val="00F606AB"/>
    <w:pPr>
      <w:widowControl w:val="0"/>
      <w:ind w:left="840"/>
    </w:pPr>
    <w:rPr>
      <w:rFonts w:ascii="Lato" w:eastAsia="Lato" w:hAnsi="Lato"/>
      <w:color w:val="231F20"/>
      <w:spacing w:val="-2"/>
      <w:sz w:val="18"/>
      <w:szCs w:val="18"/>
      <w:lang w:val="en-US" w:eastAsia="en-US"/>
    </w:rPr>
  </w:style>
  <w:style w:type="paragraph" w:customStyle="1" w:styleId="Addressblock">
    <w:name w:val="Address block"/>
    <w:basedOn w:val="TableParagraph"/>
    <w:uiPriority w:val="1"/>
    <w:qFormat/>
    <w:rsid w:val="00F606AB"/>
    <w:pPr>
      <w:spacing w:after="0" w:line="240" w:lineRule="auto"/>
    </w:pPr>
  </w:style>
  <w:style w:type="paragraph" w:customStyle="1" w:styleId="MJAheading1">
    <w:name w:val="MJA heading 1"/>
    <w:basedOn w:val="Normal"/>
    <w:next w:val="Normal"/>
    <w:autoRedefine/>
    <w:qFormat/>
    <w:rsid w:val="0041265A"/>
    <w:pPr>
      <w:keepNext/>
      <w:numPr>
        <w:numId w:val="1"/>
      </w:numPr>
      <w:pBdr>
        <w:bottom w:val="single" w:sz="18" w:space="1" w:color="0093D0"/>
      </w:pBdr>
      <w:spacing w:after="360" w:line="240" w:lineRule="auto"/>
      <w:ind w:hanging="644"/>
      <w:outlineLvl w:val="0"/>
    </w:pPr>
    <w:rPr>
      <w:rFonts w:ascii="Corbel" w:eastAsia="Times New Roman" w:hAnsi="Corbel"/>
      <w:color w:val="0093D0"/>
      <w:spacing w:val="0"/>
      <w:sz w:val="44"/>
      <w:szCs w:val="22"/>
    </w:rPr>
  </w:style>
  <w:style w:type="paragraph" w:customStyle="1" w:styleId="MJAheading2">
    <w:name w:val="MJA heading 2"/>
    <w:basedOn w:val="Normal"/>
    <w:next w:val="Normal"/>
    <w:autoRedefine/>
    <w:qFormat/>
    <w:rsid w:val="0041265A"/>
    <w:pPr>
      <w:keepNext/>
      <w:numPr>
        <w:ilvl w:val="1"/>
        <w:numId w:val="1"/>
      </w:numPr>
      <w:spacing w:before="360" w:line="240" w:lineRule="auto"/>
      <w:ind w:left="567" w:hanging="567"/>
      <w:outlineLvl w:val="1"/>
    </w:pPr>
    <w:rPr>
      <w:rFonts w:ascii="Corbel" w:eastAsia="Calibri" w:hAnsi="Corbel"/>
      <w:color w:val="0093D0"/>
      <w:spacing w:val="0"/>
      <w:sz w:val="32"/>
      <w:szCs w:val="22"/>
    </w:rPr>
  </w:style>
  <w:style w:type="paragraph" w:customStyle="1" w:styleId="MJAheading3">
    <w:name w:val="MJA heading 3"/>
    <w:basedOn w:val="Normal"/>
    <w:next w:val="Normal"/>
    <w:autoRedefine/>
    <w:qFormat/>
    <w:rsid w:val="0041265A"/>
    <w:pPr>
      <w:keepNext/>
      <w:numPr>
        <w:ilvl w:val="2"/>
        <w:numId w:val="1"/>
      </w:numPr>
      <w:spacing w:before="360" w:after="120" w:line="240" w:lineRule="auto"/>
      <w:ind w:left="851" w:hanging="851"/>
      <w:outlineLvl w:val="2"/>
    </w:pPr>
    <w:rPr>
      <w:rFonts w:ascii="Corbel" w:eastAsia="Times New Roman" w:hAnsi="Corbel"/>
      <w:color w:val="0093D0"/>
      <w:spacing w:val="0"/>
      <w:szCs w:val="22"/>
    </w:rPr>
  </w:style>
  <w:style w:type="table" w:customStyle="1" w:styleId="MJATable1">
    <w:name w:val="MJA Table1"/>
    <w:basedOn w:val="TableNormal"/>
    <w:uiPriority w:val="99"/>
    <w:rsid w:val="000523F2"/>
    <w:pPr>
      <w:spacing w:before="60" w:after="60"/>
      <w:jc w:val="center"/>
    </w:pPr>
    <w:rPr>
      <w:rFonts w:eastAsia="Times New Roman"/>
      <w:szCs w:val="22"/>
    </w:rPr>
    <w:tblPr/>
    <w:tcPr>
      <w:shd w:val="clear" w:color="auto" w:fill="auto"/>
      <w:vAlign w:val="center"/>
    </w:tcPr>
    <w:tblStylePr w:type="firstRow">
      <w:rPr>
        <w:b/>
        <w:color w:val="FFFFFF"/>
      </w:rPr>
      <w:tblPr/>
      <w:tcPr>
        <w:shd w:val="clear" w:color="auto" w:fill="0093D0"/>
      </w:tcPr>
    </w:tblStylePr>
    <w:tblStylePr w:type="lastRow">
      <w:rPr>
        <w:b/>
      </w:rPr>
      <w:tblPr/>
      <w:tcPr>
        <w:tcBorders>
          <w:bottom w:val="single" w:sz="12" w:space="0" w:color="0093D0"/>
        </w:tcBorders>
        <w:shd w:val="clear" w:color="auto" w:fill="auto"/>
      </w:tcPr>
    </w:tblStylePr>
    <w:tblStylePr w:type="firstCol">
      <w:pPr>
        <w:jc w:val="left"/>
      </w:pPr>
    </w:tblStylePr>
  </w:style>
  <w:style w:type="paragraph" w:customStyle="1" w:styleId="Tablerow">
    <w:name w:val="Table row"/>
    <w:basedOn w:val="Normal"/>
    <w:uiPriority w:val="1"/>
    <w:qFormat/>
    <w:rsid w:val="007F02D6"/>
    <w:pPr>
      <w:spacing w:before="40" w:after="0" w:line="240" w:lineRule="auto"/>
    </w:pPr>
    <w:rPr>
      <w:sz w:val="18"/>
    </w:rPr>
  </w:style>
  <w:style w:type="table" w:customStyle="1" w:styleId="MJAnew">
    <w:name w:val="MJA new"/>
    <w:basedOn w:val="TableNormal"/>
    <w:uiPriority w:val="99"/>
    <w:rsid w:val="00F35110"/>
    <w:rPr>
      <w:rFonts w:ascii="Lato" w:hAnsi="Lato"/>
      <w:sz w:val="16"/>
    </w:rPr>
    <w:tblPr>
      <w:tblStyleRowBandSize w:val="1"/>
      <w:tblBorders>
        <w:top w:val="single" w:sz="4" w:space="0" w:color="A6A6A6"/>
        <w:bottom w:val="single" w:sz="4" w:space="0" w:color="A6A6A6"/>
        <w:insideH w:val="single" w:sz="4" w:space="0" w:color="A6A6A6"/>
      </w:tblBorders>
    </w:tblPr>
    <w:trPr>
      <w:tblHeader/>
    </w:trPr>
  </w:style>
  <w:style w:type="paragraph" w:customStyle="1" w:styleId="MJAnormal">
    <w:name w:val="MJA normal"/>
    <w:basedOn w:val="Normal"/>
    <w:link w:val="MJAnormalChar1"/>
    <w:qFormat/>
    <w:rsid w:val="00112A24"/>
    <w:pPr>
      <w:spacing w:before="120" w:after="120" w:line="280" w:lineRule="atLeast"/>
    </w:pPr>
    <w:rPr>
      <w:rFonts w:ascii="Calibri" w:eastAsia="Times New Roman" w:hAnsi="Calibri"/>
      <w:color w:val="auto"/>
      <w:spacing w:val="0"/>
      <w:sz w:val="21"/>
      <w:szCs w:val="21"/>
    </w:rPr>
  </w:style>
  <w:style w:type="character" w:customStyle="1" w:styleId="MJAnormalChar1">
    <w:name w:val="MJA normal Char1"/>
    <w:link w:val="MJAnormal"/>
    <w:rsid w:val="00112A24"/>
    <w:rPr>
      <w:rFonts w:eastAsia="Times New Roman"/>
      <w:sz w:val="21"/>
      <w:szCs w:val="21"/>
    </w:rPr>
  </w:style>
  <w:style w:type="paragraph" w:styleId="Caption">
    <w:name w:val="caption"/>
    <w:basedOn w:val="Normal"/>
    <w:next w:val="MJAnormal"/>
    <w:link w:val="CaptionChar"/>
    <w:autoRedefine/>
    <w:unhideWhenUsed/>
    <w:qFormat/>
    <w:rsid w:val="00E20E7D"/>
    <w:pPr>
      <w:keepNext/>
      <w:spacing w:after="80"/>
      <w:ind w:right="261"/>
    </w:pPr>
    <w:rPr>
      <w:rFonts w:eastAsia="Times New Roman"/>
      <w:bCs/>
      <w:noProof/>
      <w:color w:val="53565A"/>
      <w:spacing w:val="0"/>
    </w:rPr>
  </w:style>
  <w:style w:type="paragraph" w:customStyle="1" w:styleId="MJAbulletnormal">
    <w:name w:val="MJA bullet normal"/>
    <w:basedOn w:val="Normal"/>
    <w:link w:val="MJAbulletnormalCharChar"/>
    <w:uiPriority w:val="99"/>
    <w:qFormat/>
    <w:rsid w:val="00771CE5"/>
    <w:pPr>
      <w:numPr>
        <w:numId w:val="3"/>
      </w:numPr>
      <w:tabs>
        <w:tab w:val="left" w:pos="284"/>
      </w:tabs>
      <w:spacing w:before="120" w:after="120" w:line="280" w:lineRule="atLeast"/>
      <w:ind w:left="284"/>
    </w:pPr>
    <w:rPr>
      <w:rFonts w:ascii="Times New Roman" w:eastAsia="Times New Roman" w:hAnsi="Times New Roman"/>
      <w:color w:val="auto"/>
      <w:spacing w:val="0"/>
      <w:sz w:val="21"/>
      <w:szCs w:val="21"/>
    </w:rPr>
  </w:style>
  <w:style w:type="character" w:styleId="FootnoteReference">
    <w:name w:val="footnote reference"/>
    <w:aliases w:val="(NECG) Footnote Reference"/>
    <w:uiPriority w:val="99"/>
    <w:rsid w:val="00771CE5"/>
    <w:rPr>
      <w:vertAlign w:val="superscript"/>
    </w:rPr>
  </w:style>
  <w:style w:type="paragraph" w:styleId="FootnoteText">
    <w:name w:val="footnote text"/>
    <w:aliases w:val="Footnote Text Char3,Footnote Text Char Char1,Footnote Text Char1 Char Char,Footnote Text Char Char Char Char,Footnote Text Char1 Char Char Char Char,Footnote Text Char Char Char Char Char Char,(NECG) Footnote Text,ALTS FOOTNOTE,fn"/>
    <w:basedOn w:val="Normal"/>
    <w:link w:val="FootnoteTextChar"/>
    <w:uiPriority w:val="99"/>
    <w:rsid w:val="0034748A"/>
    <w:pPr>
      <w:tabs>
        <w:tab w:val="left" w:pos="397"/>
      </w:tabs>
      <w:spacing w:before="40" w:after="120" w:line="240" w:lineRule="auto"/>
      <w:ind w:left="568" w:hanging="284"/>
    </w:pPr>
    <w:rPr>
      <w:rFonts w:eastAsia="Times New Roman"/>
      <w:color w:val="auto"/>
      <w:spacing w:val="0"/>
      <w:sz w:val="14"/>
    </w:rPr>
  </w:style>
  <w:style w:type="character" w:customStyle="1" w:styleId="FootnoteTextChar">
    <w:name w:val="Footnote Text Char"/>
    <w:aliases w:val="Footnote Text Char3 Char,Footnote Text Char Char1 Char,Footnote Text Char1 Char Char Char,Footnote Text Char Char Char Char Char,Footnote Text Char1 Char Char Char Char Char,Footnote Text Char Char Char Char Char Char Char,fn Char"/>
    <w:link w:val="FootnoteText"/>
    <w:uiPriority w:val="99"/>
    <w:rsid w:val="0034748A"/>
    <w:rPr>
      <w:rFonts w:ascii="Arial" w:eastAsia="Times New Roman" w:hAnsi="Arial" w:cs="Arial"/>
      <w:sz w:val="14"/>
    </w:rPr>
  </w:style>
  <w:style w:type="paragraph" w:customStyle="1" w:styleId="MJAheading4">
    <w:name w:val="MJA heading 4"/>
    <w:basedOn w:val="MJAnormal"/>
    <w:next w:val="MJAnormal"/>
    <w:autoRedefine/>
    <w:qFormat/>
    <w:rsid w:val="00771CE5"/>
    <w:pPr>
      <w:keepNext/>
      <w:tabs>
        <w:tab w:val="left" w:pos="397"/>
      </w:tabs>
      <w:spacing w:before="360" w:line="240" w:lineRule="auto"/>
      <w:jc w:val="both"/>
      <w:outlineLvl w:val="3"/>
    </w:pPr>
    <w:rPr>
      <w:rFonts w:ascii="Corbel" w:hAnsi="Corbel"/>
      <w:color w:val="0093D0"/>
      <w:szCs w:val="20"/>
    </w:rPr>
  </w:style>
  <w:style w:type="character" w:customStyle="1" w:styleId="MJAbulletnormalCharChar">
    <w:name w:val="MJA bullet normal Char Char"/>
    <w:link w:val="MJAbulletnormal"/>
    <w:uiPriority w:val="99"/>
    <w:locked/>
    <w:rsid w:val="00771CE5"/>
    <w:rPr>
      <w:rFonts w:ascii="Times New Roman" w:eastAsia="Times New Roman" w:hAnsi="Times New Roman" w:cs="Arial"/>
      <w:sz w:val="21"/>
      <w:szCs w:val="21"/>
    </w:rPr>
  </w:style>
  <w:style w:type="character" w:customStyle="1" w:styleId="CaptionChar">
    <w:name w:val="Caption Char"/>
    <w:link w:val="Caption"/>
    <w:rsid w:val="00E20E7D"/>
    <w:rPr>
      <w:rFonts w:ascii="Arial" w:eastAsia="Times New Roman" w:hAnsi="Arial" w:cs="Arial"/>
      <w:bCs/>
      <w:noProof/>
      <w:color w:val="53565A"/>
    </w:rPr>
  </w:style>
  <w:style w:type="character" w:styleId="Strong">
    <w:name w:val="Strong"/>
    <w:uiPriority w:val="22"/>
    <w:qFormat/>
    <w:rsid w:val="001832B0"/>
    <w:rPr>
      <w:b/>
      <w:bCs/>
    </w:rPr>
  </w:style>
  <w:style w:type="paragraph" w:customStyle="1" w:styleId="Projectelementoutcome">
    <w:name w:val="Project element outcome"/>
    <w:basedOn w:val="MJAnormal"/>
    <w:uiPriority w:val="1"/>
    <w:qFormat/>
    <w:rsid w:val="00E444EA"/>
    <w:pPr>
      <w:spacing w:line="312" w:lineRule="auto"/>
    </w:pPr>
    <w:rPr>
      <w:color w:val="595959"/>
      <w:sz w:val="18"/>
    </w:rPr>
  </w:style>
  <w:style w:type="paragraph" w:customStyle="1" w:styleId="MJATableRow">
    <w:name w:val="MJA Table Row"/>
    <w:basedOn w:val="Normal"/>
    <w:qFormat/>
    <w:rsid w:val="00A628AB"/>
    <w:pPr>
      <w:spacing w:before="60" w:after="60" w:line="240" w:lineRule="auto"/>
    </w:pPr>
    <w:rPr>
      <w:rFonts w:ascii="Calibri" w:eastAsia="Calibri" w:hAnsi="Calibri"/>
      <w:color w:val="auto"/>
      <w:spacing w:val="0"/>
      <w:szCs w:val="22"/>
    </w:rPr>
  </w:style>
  <w:style w:type="character" w:styleId="SubtleReference">
    <w:name w:val="Subtle Reference"/>
    <w:uiPriority w:val="31"/>
    <w:qFormat/>
    <w:rsid w:val="00C277FD"/>
    <w:rPr>
      <w:smallCaps/>
      <w:color w:val="C0504D"/>
      <w:u w:val="single"/>
    </w:rPr>
  </w:style>
  <w:style w:type="character" w:styleId="IntenseReference">
    <w:name w:val="Intense Reference"/>
    <w:uiPriority w:val="32"/>
    <w:qFormat/>
    <w:rsid w:val="00C277FD"/>
    <w:rPr>
      <w:b/>
      <w:bCs/>
      <w:smallCaps/>
      <w:color w:val="C0504D"/>
      <w:spacing w:val="5"/>
      <w:u w:val="single"/>
    </w:rPr>
  </w:style>
  <w:style w:type="character" w:styleId="BookTitle">
    <w:name w:val="Book Title"/>
    <w:uiPriority w:val="33"/>
    <w:qFormat/>
    <w:rsid w:val="00C277FD"/>
    <w:rPr>
      <w:b/>
      <w:bCs/>
      <w:smallCaps/>
      <w:spacing w:val="5"/>
    </w:rPr>
  </w:style>
  <w:style w:type="paragraph" w:customStyle="1" w:styleId="Titlesmalltext">
    <w:name w:val="Title small text"/>
    <w:basedOn w:val="Subtitle"/>
    <w:uiPriority w:val="1"/>
    <w:qFormat/>
    <w:rsid w:val="00C277FD"/>
    <w:pPr>
      <w:framePr w:wrap="around"/>
      <w:spacing w:before="0" w:after="0"/>
      <w:ind w:left="0"/>
    </w:pPr>
    <w:rPr>
      <w:sz w:val="20"/>
    </w:rPr>
  </w:style>
  <w:style w:type="character" w:styleId="CommentReference">
    <w:name w:val="annotation reference"/>
    <w:uiPriority w:val="99"/>
    <w:semiHidden/>
    <w:unhideWhenUsed/>
    <w:rsid w:val="00CA026A"/>
    <w:rPr>
      <w:sz w:val="16"/>
      <w:szCs w:val="16"/>
    </w:rPr>
  </w:style>
  <w:style w:type="paragraph" w:styleId="CommentSubject">
    <w:name w:val="annotation subject"/>
    <w:basedOn w:val="Normal"/>
    <w:next w:val="Normal"/>
    <w:link w:val="CommentSubjectChar"/>
    <w:uiPriority w:val="99"/>
    <w:semiHidden/>
    <w:unhideWhenUsed/>
    <w:rsid w:val="00881F0A"/>
    <w:rPr>
      <w:b/>
      <w:bCs/>
    </w:rPr>
  </w:style>
  <w:style w:type="character" w:customStyle="1" w:styleId="CommentSubjectChar">
    <w:name w:val="Comment Subject Char"/>
    <w:link w:val="CommentSubject"/>
    <w:uiPriority w:val="99"/>
    <w:semiHidden/>
    <w:rsid w:val="00CA026A"/>
    <w:rPr>
      <w:rFonts w:ascii="Lato" w:eastAsia="Lato" w:hAnsi="Lato"/>
      <w:b/>
      <w:bCs/>
      <w:color w:val="231F20"/>
      <w:spacing w:val="-2"/>
      <w:lang w:val="en-US" w:eastAsia="en-US"/>
    </w:rPr>
  </w:style>
  <w:style w:type="paragraph" w:styleId="Revision">
    <w:name w:val="Revision"/>
    <w:hidden/>
    <w:uiPriority w:val="99"/>
    <w:semiHidden/>
    <w:rsid w:val="00000A6E"/>
    <w:rPr>
      <w:rFonts w:ascii="Lato" w:eastAsia="Lato" w:hAnsi="Lato"/>
      <w:color w:val="231F20"/>
      <w:spacing w:val="-2"/>
      <w:sz w:val="18"/>
      <w:szCs w:val="18"/>
      <w:lang w:val="en-US" w:eastAsia="en-US"/>
    </w:rPr>
  </w:style>
  <w:style w:type="paragraph" w:styleId="ListBullet">
    <w:name w:val="List Bullet"/>
    <w:basedOn w:val="Normal"/>
    <w:unhideWhenUsed/>
    <w:qFormat/>
    <w:rsid w:val="00D34700"/>
    <w:pPr>
      <w:numPr>
        <w:numId w:val="4"/>
      </w:numPr>
      <w:spacing w:before="90" w:after="90" w:line="264" w:lineRule="auto"/>
      <w:contextualSpacing/>
    </w:pPr>
    <w:rPr>
      <w:rFonts w:ascii="Verdana" w:eastAsia="Times New Roman" w:hAnsi="Verdana" w:cs="Times"/>
      <w:color w:val="auto"/>
      <w:spacing w:val="0"/>
    </w:rPr>
  </w:style>
  <w:style w:type="paragraph" w:customStyle="1" w:styleId="MJASource">
    <w:name w:val="MJA Source"/>
    <w:basedOn w:val="MJAnormal"/>
    <w:next w:val="MJAnormal"/>
    <w:rsid w:val="00F1649D"/>
    <w:pPr>
      <w:tabs>
        <w:tab w:val="left" w:pos="397"/>
      </w:tabs>
      <w:spacing w:line="240" w:lineRule="auto"/>
      <w:jc w:val="both"/>
    </w:pPr>
    <w:rPr>
      <w:rFonts w:ascii="Franklin Gothic Book" w:hAnsi="Franklin Gothic Book"/>
      <w:i/>
      <w:sz w:val="18"/>
      <w:szCs w:val="20"/>
      <w:lang w:eastAsia="en-US"/>
    </w:rPr>
  </w:style>
  <w:style w:type="character" w:customStyle="1" w:styleId="tabletextalluviumChar">
    <w:name w:val="table text alluvium Char"/>
    <w:link w:val="tabletextalluvium"/>
    <w:locked/>
    <w:rsid w:val="00F1649D"/>
    <w:rPr>
      <w:sz w:val="18"/>
      <w:szCs w:val="18"/>
    </w:rPr>
  </w:style>
  <w:style w:type="paragraph" w:customStyle="1" w:styleId="tabletextalluvium">
    <w:name w:val="table text alluvium"/>
    <w:basedOn w:val="Normal"/>
    <w:link w:val="tabletextalluviumChar"/>
    <w:qFormat/>
    <w:rsid w:val="00F1649D"/>
    <w:pPr>
      <w:spacing w:before="40" w:after="40" w:line="240" w:lineRule="auto"/>
    </w:pPr>
    <w:rPr>
      <w:rFonts w:ascii="Calibri" w:eastAsia="Calibri" w:hAnsi="Calibri"/>
      <w:color w:val="auto"/>
      <w:spacing w:val="0"/>
    </w:rPr>
  </w:style>
  <w:style w:type="character" w:styleId="FollowedHyperlink">
    <w:name w:val="FollowedHyperlink"/>
    <w:basedOn w:val="DefaultParagraphFont"/>
    <w:uiPriority w:val="99"/>
    <w:semiHidden/>
    <w:unhideWhenUsed/>
    <w:rsid w:val="00772072"/>
    <w:rPr>
      <w:color w:val="800080" w:themeColor="followedHyperlink"/>
      <w:u w:val="single"/>
    </w:rPr>
  </w:style>
  <w:style w:type="paragraph" w:customStyle="1" w:styleId="CVtext">
    <w:name w:val="CV text"/>
    <w:basedOn w:val="Normal"/>
    <w:qFormat/>
    <w:rsid w:val="00065A32"/>
    <w:pPr>
      <w:spacing w:before="120" w:after="60" w:line="240" w:lineRule="auto"/>
    </w:pPr>
    <w:rPr>
      <w:rFonts w:ascii="Calibri" w:eastAsiaTheme="minorEastAsia" w:hAnsi="Calibri" w:cstheme="minorBidi"/>
      <w:color w:val="auto"/>
      <w:spacing w:val="0"/>
      <w:szCs w:val="22"/>
    </w:rPr>
  </w:style>
  <w:style w:type="paragraph" w:customStyle="1" w:styleId="CVnameandtitle">
    <w:name w:val="CV name and title"/>
    <w:basedOn w:val="CVtext"/>
    <w:qFormat/>
    <w:rsid w:val="00065A32"/>
    <w:rPr>
      <w:rFonts w:ascii="Corbel" w:hAnsi="Corbel"/>
      <w:color w:val="0093D0"/>
      <w:sz w:val="40"/>
    </w:rPr>
  </w:style>
  <w:style w:type="paragraph" w:customStyle="1" w:styleId="CVbullet">
    <w:name w:val="CV bullet"/>
    <w:basedOn w:val="CVtext"/>
    <w:qFormat/>
    <w:rsid w:val="00065A32"/>
    <w:pPr>
      <w:numPr>
        <w:numId w:val="5"/>
      </w:numPr>
      <w:ind w:left="357" w:hanging="357"/>
    </w:pPr>
  </w:style>
  <w:style w:type="paragraph" w:customStyle="1" w:styleId="footertext">
    <w:name w:val="footer text"/>
    <w:basedOn w:val="Footer"/>
    <w:link w:val="footertextChar"/>
    <w:qFormat/>
    <w:rsid w:val="009F3F13"/>
    <w:pPr>
      <w:spacing w:after="0" w:line="240" w:lineRule="auto"/>
    </w:pPr>
    <w:rPr>
      <w:rFonts w:eastAsia="Times New Roman" w:cstheme="minorBidi"/>
      <w:color w:val="808080" w:themeColor="background1" w:themeShade="80"/>
      <w:sz w:val="15"/>
      <w:szCs w:val="15"/>
      <w:lang w:val="en-US"/>
    </w:rPr>
  </w:style>
  <w:style w:type="character" w:customStyle="1" w:styleId="footertextChar">
    <w:name w:val="footer text Char"/>
    <w:basedOn w:val="FooterChar"/>
    <w:link w:val="footertext"/>
    <w:rsid w:val="009F3F13"/>
    <w:rPr>
      <w:rFonts w:ascii="Lato" w:eastAsia="Times New Roman" w:hAnsi="Lato" w:cstheme="minorBidi"/>
      <w:color w:val="808080" w:themeColor="background1" w:themeShade="80"/>
      <w:spacing w:val="-2"/>
      <w:sz w:val="15"/>
      <w:szCs w:val="15"/>
      <w:lang w:val="en-US" w:eastAsia="en-US"/>
    </w:rPr>
  </w:style>
  <w:style w:type="character" w:customStyle="1" w:styleId="ListParagraphChar">
    <w:name w:val="List Paragraph Char"/>
    <w:basedOn w:val="DefaultParagraphFont"/>
    <w:link w:val="ListParagraph"/>
    <w:uiPriority w:val="34"/>
    <w:locked/>
    <w:rsid w:val="002F27A9"/>
    <w:rPr>
      <w:rFonts w:ascii="Arial" w:eastAsia="Lato" w:hAnsi="Arial" w:cs="Arial"/>
      <w:color w:val="231F20"/>
      <w:spacing w:val="-2"/>
    </w:rPr>
  </w:style>
  <w:style w:type="paragraph" w:styleId="NormalWeb">
    <w:name w:val="Normal (Web)"/>
    <w:basedOn w:val="Normal"/>
    <w:uiPriority w:val="99"/>
    <w:unhideWhenUsed/>
    <w:rsid w:val="005F5BC4"/>
    <w:pPr>
      <w:spacing w:before="100" w:beforeAutospacing="1" w:after="100" w:afterAutospacing="1" w:line="240" w:lineRule="auto"/>
    </w:pPr>
    <w:rPr>
      <w:rFonts w:ascii="Times New Roman" w:eastAsia="Times New Roman" w:hAnsi="Times New Roman"/>
      <w:color w:val="auto"/>
      <w:spacing w:val="0"/>
    </w:rPr>
  </w:style>
  <w:style w:type="numbering" w:customStyle="1" w:styleId="List1">
    <w:name w:val="List 1"/>
    <w:autoRedefine/>
    <w:rsid w:val="005A6E3A"/>
    <w:pPr>
      <w:numPr>
        <w:numId w:val="6"/>
      </w:numPr>
    </w:pPr>
  </w:style>
  <w:style w:type="table" w:styleId="LightShading">
    <w:name w:val="Light Shading"/>
    <w:basedOn w:val="TableNormal"/>
    <w:uiPriority w:val="60"/>
    <w:rsid w:val="005A6E3A"/>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EF1F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alifications">
    <w:name w:val="Qualifications"/>
    <w:basedOn w:val="Normal"/>
    <w:qFormat/>
    <w:rsid w:val="00340309"/>
    <w:pPr>
      <w:spacing w:after="120" w:line="230" w:lineRule="atLeast"/>
      <w:contextualSpacing/>
    </w:pPr>
    <w:rPr>
      <w:rFonts w:asciiTheme="minorHAnsi" w:eastAsia="Times New Roman" w:hAnsiTheme="minorHAnsi" w:cstheme="minorHAnsi"/>
      <w:color w:val="auto"/>
      <w:spacing w:val="0"/>
    </w:rPr>
  </w:style>
  <w:style w:type="paragraph" w:customStyle="1" w:styleId="Default">
    <w:name w:val="Default"/>
    <w:rsid w:val="00B0443D"/>
    <w:pPr>
      <w:autoSpaceDE w:val="0"/>
      <w:autoSpaceDN w:val="0"/>
      <w:adjustRightInd w:val="0"/>
    </w:pPr>
    <w:rPr>
      <w:rFonts w:ascii="Imago Light" w:hAnsi="Imago Light" w:cs="Imago Light"/>
      <w:color w:val="000000"/>
      <w:sz w:val="24"/>
      <w:szCs w:val="24"/>
    </w:rPr>
  </w:style>
  <w:style w:type="character" w:customStyle="1" w:styleId="A3">
    <w:name w:val="A3"/>
    <w:uiPriority w:val="99"/>
    <w:rsid w:val="00B0443D"/>
    <w:rPr>
      <w:rFonts w:cs="Imago Light"/>
      <w:color w:val="FFFFFF"/>
      <w:sz w:val="40"/>
      <w:szCs w:val="40"/>
    </w:rPr>
  </w:style>
  <w:style w:type="paragraph" w:customStyle="1" w:styleId="Pa9">
    <w:name w:val="Pa9"/>
    <w:basedOn w:val="Default"/>
    <w:next w:val="Default"/>
    <w:uiPriority w:val="99"/>
    <w:rsid w:val="00163A7B"/>
    <w:pPr>
      <w:spacing w:line="361" w:lineRule="atLeast"/>
    </w:pPr>
    <w:rPr>
      <w:rFonts w:ascii="Whitney Book" w:hAnsi="Whitney Book" w:cs="Times New Roman"/>
      <w:color w:val="auto"/>
    </w:rPr>
  </w:style>
  <w:style w:type="paragraph" w:customStyle="1" w:styleId="Pa0">
    <w:name w:val="Pa0"/>
    <w:basedOn w:val="Default"/>
    <w:next w:val="Default"/>
    <w:uiPriority w:val="99"/>
    <w:rsid w:val="00163A7B"/>
    <w:pPr>
      <w:spacing w:line="241" w:lineRule="atLeast"/>
    </w:pPr>
    <w:rPr>
      <w:rFonts w:ascii="Whitney Book" w:hAnsi="Whitney Book" w:cs="Times New Roman"/>
      <w:color w:val="auto"/>
    </w:rPr>
  </w:style>
  <w:style w:type="paragraph" w:customStyle="1" w:styleId="Pa2">
    <w:name w:val="Pa2"/>
    <w:basedOn w:val="Default"/>
    <w:next w:val="Default"/>
    <w:uiPriority w:val="99"/>
    <w:rsid w:val="00163A7B"/>
    <w:pPr>
      <w:spacing w:line="481" w:lineRule="atLeast"/>
    </w:pPr>
    <w:rPr>
      <w:rFonts w:ascii="Whitney Book" w:hAnsi="Whitney Book" w:cs="Times New Roman"/>
      <w:color w:val="auto"/>
    </w:rPr>
  </w:style>
  <w:style w:type="character" w:customStyle="1" w:styleId="A1">
    <w:name w:val="A1"/>
    <w:uiPriority w:val="99"/>
    <w:rsid w:val="00163A7B"/>
    <w:rPr>
      <w:rFonts w:cs="Whitney Book"/>
      <w:color w:val="625D4F"/>
      <w:sz w:val="18"/>
      <w:szCs w:val="18"/>
    </w:rPr>
  </w:style>
  <w:style w:type="character" w:customStyle="1" w:styleId="Heading1Char">
    <w:name w:val="Heading 1 Char"/>
    <w:basedOn w:val="DefaultParagraphFont"/>
    <w:link w:val="Heading1"/>
    <w:uiPriority w:val="9"/>
    <w:rsid w:val="000F6BAD"/>
    <w:rPr>
      <w:rFonts w:ascii="Arial" w:eastAsia="Lato Light" w:hAnsi="Arial" w:cs="Arial"/>
      <w:color w:val="262626" w:themeColor="text1" w:themeTint="D9"/>
      <w:spacing w:val="-1"/>
      <w:sz w:val="60"/>
      <w:szCs w:val="60"/>
    </w:rPr>
  </w:style>
  <w:style w:type="paragraph" w:styleId="Bibliography">
    <w:name w:val="Bibliography"/>
    <w:basedOn w:val="Normal"/>
    <w:next w:val="Normal"/>
    <w:uiPriority w:val="37"/>
    <w:unhideWhenUsed/>
    <w:rsid w:val="006F6088"/>
  </w:style>
  <w:style w:type="table" w:customStyle="1" w:styleId="PlainTable21">
    <w:name w:val="Plain Table 21"/>
    <w:basedOn w:val="TableNormal"/>
    <w:uiPriority w:val="99"/>
    <w:rsid w:val="00521713"/>
    <w:rPr>
      <w:rFonts w:asciiTheme="minorHAnsi" w:eastAsiaTheme="minorEastAsia" w:hAnsiTheme="minorHAnsi" w:cstheme="minorBidi"/>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51">
    <w:name w:val="A5+1"/>
    <w:uiPriority w:val="99"/>
    <w:rsid w:val="00124A45"/>
    <w:rPr>
      <w:rFonts w:cs="Verlag Light"/>
      <w:color w:val="211D1E"/>
      <w:sz w:val="11"/>
      <w:szCs w:val="11"/>
    </w:rPr>
  </w:style>
  <w:style w:type="table" w:styleId="LightList-Accent1">
    <w:name w:val="Light List Accent 1"/>
    <w:basedOn w:val="TableNormal"/>
    <w:uiPriority w:val="61"/>
    <w:rsid w:val="004739B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gc">
    <w:name w:val="_tgc"/>
    <w:basedOn w:val="DefaultParagraphFont"/>
    <w:rsid w:val="00B02EFB"/>
  </w:style>
  <w:style w:type="paragraph" w:customStyle="1" w:styleId="Heading1a">
    <w:name w:val="Heading 1a"/>
    <w:basedOn w:val="Heading1"/>
    <w:uiPriority w:val="1"/>
    <w:qFormat/>
    <w:rsid w:val="00EB5BA9"/>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Lato" w:hAnsi="Arial" w:cs="Arial"/>
      <w:color w:val="231F20"/>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554B"/>
    <w:pPr>
      <w:keepLines/>
      <w:spacing w:after="240" w:line="312" w:lineRule="auto"/>
    </w:pPr>
    <w:rPr>
      <w:rFonts w:ascii="Arial" w:eastAsia="Lato" w:hAnsi="Arial" w:cs="Arial"/>
      <w:color w:val="231F20"/>
      <w:spacing w:val="-2"/>
    </w:rPr>
  </w:style>
  <w:style w:type="paragraph" w:styleId="Heading1">
    <w:name w:val="heading 1"/>
    <w:basedOn w:val="Normal"/>
    <w:link w:val="Heading1Char"/>
    <w:uiPriority w:val="9"/>
    <w:qFormat/>
    <w:rsid w:val="000F6BAD"/>
    <w:pPr>
      <w:keepNext/>
      <w:pageBreakBefore/>
      <w:outlineLvl w:val="0"/>
    </w:pPr>
    <w:rPr>
      <w:rFonts w:eastAsia="Lato Light"/>
      <w:color w:val="262626" w:themeColor="text1" w:themeTint="D9"/>
      <w:spacing w:val="-1"/>
      <w:sz w:val="60"/>
      <w:szCs w:val="60"/>
    </w:rPr>
  </w:style>
  <w:style w:type="paragraph" w:styleId="Heading2">
    <w:name w:val="heading 2"/>
    <w:basedOn w:val="Normal"/>
    <w:uiPriority w:val="1"/>
    <w:qFormat/>
    <w:rsid w:val="00B73093"/>
    <w:pPr>
      <w:keepNext/>
      <w:spacing w:before="360"/>
      <w:outlineLvl w:val="1"/>
    </w:pPr>
    <w:rPr>
      <w:rFonts w:eastAsia="Lato Light"/>
      <w:color w:val="262626" w:themeColor="text1" w:themeTint="D9"/>
      <w:sz w:val="36"/>
      <w:szCs w:val="36"/>
    </w:rPr>
  </w:style>
  <w:style w:type="paragraph" w:styleId="Heading3">
    <w:name w:val="heading 3"/>
    <w:basedOn w:val="Normal"/>
    <w:uiPriority w:val="1"/>
    <w:qFormat/>
    <w:rsid w:val="003E43FC"/>
    <w:pPr>
      <w:keepNext/>
      <w:spacing w:before="50"/>
      <w:ind w:left="851"/>
      <w:outlineLvl w:val="2"/>
    </w:pPr>
    <w:rPr>
      <w:color w:val="53565A"/>
      <w:sz w:val="30"/>
      <w:szCs w:val="30"/>
    </w:rPr>
  </w:style>
  <w:style w:type="paragraph" w:styleId="Heading4">
    <w:name w:val="heading 4"/>
    <w:basedOn w:val="Normal"/>
    <w:uiPriority w:val="1"/>
    <w:qFormat/>
    <w:rsid w:val="00F46697"/>
    <w:pPr>
      <w:spacing w:before="60"/>
      <w:ind w:left="851"/>
      <w:outlineLvl w:val="3"/>
    </w:pPr>
    <w:rPr>
      <w:rFonts w:ascii="Lato Black" w:eastAsia="Lato Black" w:hAnsi="Lato Black"/>
      <w:bCs/>
    </w:rPr>
  </w:style>
  <w:style w:type="paragraph" w:styleId="Heading5">
    <w:name w:val="heading 5"/>
    <w:basedOn w:val="Normal"/>
    <w:uiPriority w:val="1"/>
    <w:qFormat/>
    <w:rsid w:val="00442830"/>
    <w:pPr>
      <w:spacing w:before="60"/>
      <w:ind w:left="850"/>
      <w:outlineLvl w:val="4"/>
    </w:pPr>
    <w:rPr>
      <w:i/>
    </w:rPr>
  </w:style>
  <w:style w:type="paragraph" w:styleId="Heading6">
    <w:name w:val="heading 6"/>
    <w:basedOn w:val="Normal"/>
    <w:uiPriority w:val="1"/>
    <w:qFormat/>
    <w:rsid w:val="00442830"/>
    <w:pPr>
      <w:spacing w:before="67"/>
      <w:ind w:left="1499"/>
      <w:outlineLvl w:val="5"/>
    </w:pPr>
    <w:rPr>
      <w:rFonts w:ascii="Lato Black" w:eastAsia="Lato Black" w:hAnsi="Lato Black"/>
      <w:b/>
      <w:bCs/>
    </w:rPr>
  </w:style>
  <w:style w:type="paragraph" w:styleId="Heading7">
    <w:name w:val="heading 7"/>
    <w:basedOn w:val="Normal"/>
    <w:uiPriority w:val="1"/>
    <w:qFormat/>
    <w:rsid w:val="00442830"/>
    <w:pPr>
      <w:ind w:left="856"/>
      <w:outlineLvl w:val="6"/>
    </w:pPr>
    <w:rPr>
      <w:rFonts w:ascii="Lato Black" w:eastAsia="Lato Black" w:hAnsi="Lato Black"/>
      <w:b/>
      <w:bCs/>
    </w:rPr>
  </w:style>
  <w:style w:type="paragraph" w:styleId="Heading8">
    <w:name w:val="heading 8"/>
    <w:basedOn w:val="Normal"/>
    <w:uiPriority w:val="1"/>
    <w:qFormat/>
    <w:rsid w:val="00442830"/>
    <w:pPr>
      <w:outlineLvl w:val="7"/>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42830"/>
    <w:pPr>
      <w:widowControl w:val="0"/>
    </w:pPr>
    <w:rPr>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uiPriority w:val="1"/>
    <w:qFormat/>
    <w:rsid w:val="00C466BF"/>
    <w:pPr>
      <w:spacing w:line="288" w:lineRule="auto"/>
    </w:pPr>
  </w:style>
  <w:style w:type="paragraph" w:styleId="ListParagraph">
    <w:name w:val="List Paragraph"/>
    <w:basedOn w:val="Normal"/>
    <w:link w:val="ListParagraphChar"/>
    <w:uiPriority w:val="34"/>
    <w:qFormat/>
    <w:rsid w:val="002F27A9"/>
    <w:pPr>
      <w:numPr>
        <w:numId w:val="2"/>
      </w:numPr>
      <w:spacing w:after="120"/>
      <w:ind w:left="357" w:hanging="357"/>
    </w:pPr>
  </w:style>
  <w:style w:type="paragraph" w:customStyle="1" w:styleId="TableParagraph">
    <w:name w:val="Table Paragraph"/>
    <w:basedOn w:val="Normal"/>
    <w:uiPriority w:val="1"/>
    <w:qFormat/>
    <w:rsid w:val="00442830"/>
  </w:style>
  <w:style w:type="paragraph" w:styleId="TOCHeading">
    <w:name w:val="TOC Heading"/>
    <w:basedOn w:val="Heading1"/>
    <w:next w:val="Normal"/>
    <w:uiPriority w:val="39"/>
    <w:semiHidden/>
    <w:unhideWhenUsed/>
    <w:qFormat/>
    <w:rsid w:val="004C5E5F"/>
    <w:pPr>
      <w:spacing w:line="276" w:lineRule="auto"/>
      <w:outlineLvl w:val="9"/>
    </w:pPr>
    <w:rPr>
      <w:rFonts w:ascii="Cambria" w:eastAsia="MS Gothic" w:hAnsi="Cambria"/>
      <w:b/>
      <w:bCs/>
      <w:color w:val="365F91"/>
      <w:sz w:val="28"/>
      <w:szCs w:val="28"/>
      <w:lang w:eastAsia="ja-JP"/>
    </w:rPr>
  </w:style>
  <w:style w:type="paragraph" w:styleId="TOC1">
    <w:name w:val="toc 1"/>
    <w:basedOn w:val="Normal"/>
    <w:next w:val="Normal"/>
    <w:autoRedefine/>
    <w:uiPriority w:val="39"/>
    <w:unhideWhenUsed/>
    <w:rsid w:val="00E705D3"/>
    <w:pPr>
      <w:tabs>
        <w:tab w:val="right" w:leader="dot" w:pos="9356"/>
      </w:tabs>
      <w:spacing w:after="180" w:line="240" w:lineRule="auto"/>
      <w:ind w:left="567" w:right="567"/>
      <w:jc w:val="both"/>
    </w:pPr>
  </w:style>
  <w:style w:type="paragraph" w:styleId="TOC3">
    <w:name w:val="toc 3"/>
    <w:basedOn w:val="Normal"/>
    <w:next w:val="Normal"/>
    <w:autoRedefine/>
    <w:uiPriority w:val="39"/>
    <w:unhideWhenUsed/>
    <w:rsid w:val="004C5E5F"/>
    <w:pPr>
      <w:ind w:left="440"/>
    </w:pPr>
  </w:style>
  <w:style w:type="paragraph" w:styleId="TOC2">
    <w:name w:val="toc 2"/>
    <w:basedOn w:val="Normal"/>
    <w:next w:val="Normal"/>
    <w:autoRedefine/>
    <w:uiPriority w:val="39"/>
    <w:unhideWhenUsed/>
    <w:rsid w:val="004C5E5F"/>
    <w:pPr>
      <w:ind w:left="220"/>
    </w:pPr>
  </w:style>
  <w:style w:type="character" w:styleId="Hyperlink">
    <w:name w:val="Hyperlink"/>
    <w:uiPriority w:val="99"/>
    <w:unhideWhenUsed/>
    <w:rsid w:val="004C5E5F"/>
    <w:rPr>
      <w:color w:val="0000FF"/>
      <w:u w:val="single"/>
    </w:rPr>
  </w:style>
  <w:style w:type="paragraph" w:styleId="Header">
    <w:name w:val="header"/>
    <w:basedOn w:val="Normal"/>
    <w:link w:val="HeaderChar"/>
    <w:uiPriority w:val="99"/>
    <w:unhideWhenUsed/>
    <w:rsid w:val="004C5E5F"/>
    <w:pPr>
      <w:tabs>
        <w:tab w:val="center" w:pos="4513"/>
        <w:tab w:val="right" w:pos="9026"/>
      </w:tabs>
    </w:pPr>
  </w:style>
  <w:style w:type="character" w:customStyle="1" w:styleId="HeaderChar">
    <w:name w:val="Header Char"/>
    <w:link w:val="Header"/>
    <w:uiPriority w:val="99"/>
    <w:rsid w:val="004C5E5F"/>
    <w:rPr>
      <w:sz w:val="22"/>
      <w:szCs w:val="22"/>
      <w:lang w:val="en-US" w:eastAsia="en-US"/>
    </w:rPr>
  </w:style>
  <w:style w:type="paragraph" w:styleId="Footer">
    <w:name w:val="footer"/>
    <w:basedOn w:val="Header"/>
    <w:link w:val="FooterChar"/>
    <w:uiPriority w:val="99"/>
    <w:unhideWhenUsed/>
    <w:rsid w:val="00DB7EB9"/>
    <w:rPr>
      <w:sz w:val="12"/>
    </w:rPr>
  </w:style>
  <w:style w:type="character" w:customStyle="1" w:styleId="FooterChar">
    <w:name w:val="Footer Char"/>
    <w:link w:val="Footer"/>
    <w:uiPriority w:val="99"/>
    <w:rsid w:val="00DB7EB9"/>
    <w:rPr>
      <w:rFonts w:ascii="Lato" w:eastAsia="Lato" w:hAnsi="Lato"/>
      <w:color w:val="231F20"/>
      <w:spacing w:val="-2"/>
      <w:sz w:val="12"/>
      <w:szCs w:val="18"/>
      <w:lang w:val="en-US" w:eastAsia="en-US"/>
    </w:rPr>
  </w:style>
  <w:style w:type="paragraph" w:styleId="Title">
    <w:name w:val="Title"/>
    <w:basedOn w:val="Normal"/>
    <w:next w:val="Normal"/>
    <w:link w:val="TitleChar"/>
    <w:uiPriority w:val="10"/>
    <w:qFormat/>
    <w:rsid w:val="002F27A9"/>
    <w:pPr>
      <w:spacing w:before="54"/>
      <w:ind w:left="706"/>
    </w:pPr>
    <w:rPr>
      <w:color w:val="auto"/>
      <w:sz w:val="54"/>
    </w:rPr>
  </w:style>
  <w:style w:type="character" w:customStyle="1" w:styleId="TitleChar">
    <w:name w:val="Title Char"/>
    <w:link w:val="Title"/>
    <w:uiPriority w:val="10"/>
    <w:rsid w:val="002F27A9"/>
    <w:rPr>
      <w:rFonts w:ascii="Arial" w:eastAsia="Lato" w:hAnsi="Arial" w:cs="Arial"/>
      <w:spacing w:val="-2"/>
      <w:sz w:val="54"/>
    </w:rPr>
  </w:style>
  <w:style w:type="paragraph" w:styleId="Subtitle">
    <w:name w:val="Subtitle"/>
    <w:basedOn w:val="Normal"/>
    <w:next w:val="Normal"/>
    <w:link w:val="SubtitleChar"/>
    <w:uiPriority w:val="11"/>
    <w:qFormat/>
    <w:rsid w:val="00922C30"/>
    <w:pPr>
      <w:framePr w:hSpace="180" w:wrap="around" w:vAnchor="text" w:hAnchor="margin" w:x="817" w:y="2337"/>
      <w:spacing w:before="64"/>
      <w:ind w:left="706"/>
      <w:suppressOverlap/>
    </w:pPr>
    <w:rPr>
      <w:color w:val="FFFFFF"/>
      <w:spacing w:val="-1"/>
      <w:sz w:val="38"/>
    </w:rPr>
  </w:style>
  <w:style w:type="character" w:customStyle="1" w:styleId="SubtitleChar">
    <w:name w:val="Subtitle Char"/>
    <w:link w:val="Subtitle"/>
    <w:uiPriority w:val="11"/>
    <w:rsid w:val="00922C30"/>
    <w:rPr>
      <w:rFonts w:ascii="Lato" w:eastAsia="Lato" w:hAnsi="Lato"/>
      <w:color w:val="FFFFFF"/>
      <w:spacing w:val="-1"/>
      <w:sz w:val="38"/>
      <w:szCs w:val="18"/>
      <w:lang w:eastAsia="en-US"/>
    </w:rPr>
  </w:style>
  <w:style w:type="character" w:styleId="SubtleEmphasis">
    <w:name w:val="Subtle Emphasis"/>
    <w:uiPriority w:val="19"/>
    <w:qFormat/>
    <w:rsid w:val="004C5E5F"/>
    <w:rPr>
      <w:color w:val="FFFFFF"/>
    </w:rPr>
  </w:style>
  <w:style w:type="character" w:styleId="Emphasis">
    <w:name w:val="Emphasis"/>
    <w:uiPriority w:val="20"/>
    <w:qFormat/>
    <w:rsid w:val="009F0FF4"/>
    <w:rPr>
      <w:rFonts w:ascii="Arial" w:hAnsi="Arial"/>
      <w:color w:val="auto"/>
      <w:sz w:val="28"/>
    </w:rPr>
  </w:style>
  <w:style w:type="character" w:styleId="IntenseEmphasis">
    <w:name w:val="Intense Emphasis"/>
    <w:uiPriority w:val="21"/>
    <w:qFormat/>
    <w:rsid w:val="00473624"/>
    <w:rPr>
      <w:b/>
      <w:bCs/>
      <w:i/>
      <w:iCs/>
      <w:color w:val="4F81BD"/>
    </w:rPr>
  </w:style>
  <w:style w:type="paragraph" w:styleId="IntenseQuote">
    <w:name w:val="Intense Quote"/>
    <w:basedOn w:val="Normal"/>
    <w:next w:val="Normal"/>
    <w:link w:val="IntenseQuoteChar"/>
    <w:uiPriority w:val="30"/>
    <w:qFormat/>
    <w:rsid w:val="0047362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73624"/>
    <w:rPr>
      <w:b/>
      <w:bCs/>
      <w:i/>
      <w:iCs/>
      <w:color w:val="4F81BD"/>
      <w:sz w:val="22"/>
      <w:szCs w:val="22"/>
      <w:lang w:val="en-US" w:eastAsia="en-US"/>
    </w:rPr>
  </w:style>
  <w:style w:type="table" w:styleId="TableGrid">
    <w:name w:val="Table Grid"/>
    <w:basedOn w:val="TableNormal"/>
    <w:uiPriority w:val="39"/>
    <w:rsid w:val="0047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7D70"/>
    <w:pPr>
      <w:spacing w:line="240" w:lineRule="auto"/>
    </w:pPr>
    <w:rPr>
      <w:rFonts w:ascii="Tahoma" w:hAnsi="Tahoma" w:cs="Tahoma"/>
      <w:sz w:val="16"/>
      <w:szCs w:val="16"/>
    </w:rPr>
  </w:style>
  <w:style w:type="character" w:customStyle="1" w:styleId="BalloonTextChar">
    <w:name w:val="Balloon Text Char"/>
    <w:link w:val="BalloonText"/>
    <w:semiHidden/>
    <w:rsid w:val="00F47D70"/>
    <w:rPr>
      <w:rFonts w:ascii="Tahoma" w:eastAsia="Lato" w:hAnsi="Tahoma" w:cs="Tahoma"/>
      <w:color w:val="231F20"/>
      <w:spacing w:val="-2"/>
      <w:sz w:val="16"/>
      <w:szCs w:val="16"/>
      <w:lang w:val="en-US" w:eastAsia="en-US"/>
    </w:rPr>
  </w:style>
  <w:style w:type="paragraph" w:styleId="NoSpacing">
    <w:name w:val="No Spacing"/>
    <w:uiPriority w:val="1"/>
    <w:qFormat/>
    <w:rsid w:val="00F606AB"/>
    <w:pPr>
      <w:widowControl w:val="0"/>
      <w:ind w:left="840"/>
    </w:pPr>
    <w:rPr>
      <w:rFonts w:ascii="Lato" w:eastAsia="Lato" w:hAnsi="Lato"/>
      <w:color w:val="231F20"/>
      <w:spacing w:val="-2"/>
      <w:sz w:val="18"/>
      <w:szCs w:val="18"/>
      <w:lang w:val="en-US" w:eastAsia="en-US"/>
    </w:rPr>
  </w:style>
  <w:style w:type="paragraph" w:customStyle="1" w:styleId="Addressblock">
    <w:name w:val="Address block"/>
    <w:basedOn w:val="TableParagraph"/>
    <w:uiPriority w:val="1"/>
    <w:qFormat/>
    <w:rsid w:val="00F606AB"/>
    <w:pPr>
      <w:spacing w:after="0" w:line="240" w:lineRule="auto"/>
    </w:pPr>
  </w:style>
  <w:style w:type="paragraph" w:customStyle="1" w:styleId="MJAheading1">
    <w:name w:val="MJA heading 1"/>
    <w:basedOn w:val="Normal"/>
    <w:next w:val="Normal"/>
    <w:autoRedefine/>
    <w:qFormat/>
    <w:rsid w:val="0041265A"/>
    <w:pPr>
      <w:keepNext/>
      <w:numPr>
        <w:numId w:val="1"/>
      </w:numPr>
      <w:pBdr>
        <w:bottom w:val="single" w:sz="18" w:space="1" w:color="0093D0"/>
      </w:pBdr>
      <w:spacing w:after="360" w:line="240" w:lineRule="auto"/>
      <w:ind w:hanging="644"/>
      <w:outlineLvl w:val="0"/>
    </w:pPr>
    <w:rPr>
      <w:rFonts w:ascii="Corbel" w:eastAsia="Times New Roman" w:hAnsi="Corbel"/>
      <w:color w:val="0093D0"/>
      <w:spacing w:val="0"/>
      <w:sz w:val="44"/>
      <w:szCs w:val="22"/>
    </w:rPr>
  </w:style>
  <w:style w:type="paragraph" w:customStyle="1" w:styleId="MJAheading2">
    <w:name w:val="MJA heading 2"/>
    <w:basedOn w:val="Normal"/>
    <w:next w:val="Normal"/>
    <w:autoRedefine/>
    <w:qFormat/>
    <w:rsid w:val="0041265A"/>
    <w:pPr>
      <w:keepNext/>
      <w:numPr>
        <w:ilvl w:val="1"/>
        <w:numId w:val="1"/>
      </w:numPr>
      <w:spacing w:before="360" w:line="240" w:lineRule="auto"/>
      <w:ind w:left="567" w:hanging="567"/>
      <w:outlineLvl w:val="1"/>
    </w:pPr>
    <w:rPr>
      <w:rFonts w:ascii="Corbel" w:eastAsia="Calibri" w:hAnsi="Corbel"/>
      <w:color w:val="0093D0"/>
      <w:spacing w:val="0"/>
      <w:sz w:val="32"/>
      <w:szCs w:val="22"/>
    </w:rPr>
  </w:style>
  <w:style w:type="paragraph" w:customStyle="1" w:styleId="MJAheading3">
    <w:name w:val="MJA heading 3"/>
    <w:basedOn w:val="Normal"/>
    <w:next w:val="Normal"/>
    <w:autoRedefine/>
    <w:qFormat/>
    <w:rsid w:val="0041265A"/>
    <w:pPr>
      <w:keepNext/>
      <w:numPr>
        <w:ilvl w:val="2"/>
        <w:numId w:val="1"/>
      </w:numPr>
      <w:spacing w:before="360" w:after="120" w:line="240" w:lineRule="auto"/>
      <w:ind w:left="851" w:hanging="851"/>
      <w:outlineLvl w:val="2"/>
    </w:pPr>
    <w:rPr>
      <w:rFonts w:ascii="Corbel" w:eastAsia="Times New Roman" w:hAnsi="Corbel"/>
      <w:color w:val="0093D0"/>
      <w:spacing w:val="0"/>
      <w:szCs w:val="22"/>
    </w:rPr>
  </w:style>
  <w:style w:type="table" w:customStyle="1" w:styleId="MJATable1">
    <w:name w:val="MJA Table1"/>
    <w:basedOn w:val="TableNormal"/>
    <w:uiPriority w:val="99"/>
    <w:rsid w:val="000523F2"/>
    <w:pPr>
      <w:spacing w:before="60" w:after="60"/>
      <w:jc w:val="center"/>
    </w:pPr>
    <w:rPr>
      <w:rFonts w:eastAsia="Times New Roman"/>
      <w:szCs w:val="22"/>
    </w:rPr>
    <w:tblPr/>
    <w:tcPr>
      <w:shd w:val="clear" w:color="auto" w:fill="auto"/>
      <w:vAlign w:val="center"/>
    </w:tcPr>
    <w:tblStylePr w:type="firstRow">
      <w:rPr>
        <w:b/>
        <w:color w:val="FFFFFF"/>
      </w:rPr>
      <w:tblPr/>
      <w:tcPr>
        <w:shd w:val="clear" w:color="auto" w:fill="0093D0"/>
      </w:tcPr>
    </w:tblStylePr>
    <w:tblStylePr w:type="lastRow">
      <w:rPr>
        <w:b/>
      </w:rPr>
      <w:tblPr/>
      <w:tcPr>
        <w:tcBorders>
          <w:bottom w:val="single" w:sz="12" w:space="0" w:color="0093D0"/>
        </w:tcBorders>
        <w:shd w:val="clear" w:color="auto" w:fill="auto"/>
      </w:tcPr>
    </w:tblStylePr>
    <w:tblStylePr w:type="firstCol">
      <w:pPr>
        <w:jc w:val="left"/>
      </w:pPr>
    </w:tblStylePr>
  </w:style>
  <w:style w:type="paragraph" w:customStyle="1" w:styleId="Tablerow">
    <w:name w:val="Table row"/>
    <w:basedOn w:val="Normal"/>
    <w:uiPriority w:val="1"/>
    <w:qFormat/>
    <w:rsid w:val="007F02D6"/>
    <w:pPr>
      <w:spacing w:before="40" w:after="0" w:line="240" w:lineRule="auto"/>
    </w:pPr>
    <w:rPr>
      <w:sz w:val="18"/>
    </w:rPr>
  </w:style>
  <w:style w:type="table" w:customStyle="1" w:styleId="MJAnew">
    <w:name w:val="MJA new"/>
    <w:basedOn w:val="TableNormal"/>
    <w:uiPriority w:val="99"/>
    <w:rsid w:val="00F35110"/>
    <w:rPr>
      <w:rFonts w:ascii="Lato" w:hAnsi="Lato"/>
      <w:sz w:val="16"/>
    </w:rPr>
    <w:tblPr>
      <w:tblStyleRowBandSize w:val="1"/>
      <w:tblBorders>
        <w:top w:val="single" w:sz="4" w:space="0" w:color="A6A6A6"/>
        <w:bottom w:val="single" w:sz="4" w:space="0" w:color="A6A6A6"/>
        <w:insideH w:val="single" w:sz="4" w:space="0" w:color="A6A6A6"/>
      </w:tblBorders>
    </w:tblPr>
    <w:trPr>
      <w:tblHeader/>
    </w:trPr>
  </w:style>
  <w:style w:type="paragraph" w:customStyle="1" w:styleId="MJAnormal">
    <w:name w:val="MJA normal"/>
    <w:basedOn w:val="Normal"/>
    <w:link w:val="MJAnormalChar1"/>
    <w:qFormat/>
    <w:rsid w:val="00112A24"/>
    <w:pPr>
      <w:spacing w:before="120" w:after="120" w:line="280" w:lineRule="atLeast"/>
    </w:pPr>
    <w:rPr>
      <w:rFonts w:ascii="Calibri" w:eastAsia="Times New Roman" w:hAnsi="Calibri"/>
      <w:color w:val="auto"/>
      <w:spacing w:val="0"/>
      <w:sz w:val="21"/>
      <w:szCs w:val="21"/>
    </w:rPr>
  </w:style>
  <w:style w:type="character" w:customStyle="1" w:styleId="MJAnormalChar1">
    <w:name w:val="MJA normal Char1"/>
    <w:link w:val="MJAnormal"/>
    <w:rsid w:val="00112A24"/>
    <w:rPr>
      <w:rFonts w:eastAsia="Times New Roman"/>
      <w:sz w:val="21"/>
      <w:szCs w:val="21"/>
    </w:rPr>
  </w:style>
  <w:style w:type="paragraph" w:styleId="Caption">
    <w:name w:val="caption"/>
    <w:basedOn w:val="Normal"/>
    <w:next w:val="MJAnormal"/>
    <w:link w:val="CaptionChar"/>
    <w:autoRedefine/>
    <w:unhideWhenUsed/>
    <w:qFormat/>
    <w:rsid w:val="00E20E7D"/>
    <w:pPr>
      <w:keepNext/>
      <w:spacing w:after="80"/>
      <w:ind w:right="261"/>
    </w:pPr>
    <w:rPr>
      <w:rFonts w:eastAsia="Times New Roman"/>
      <w:bCs/>
      <w:noProof/>
      <w:color w:val="53565A"/>
      <w:spacing w:val="0"/>
    </w:rPr>
  </w:style>
  <w:style w:type="paragraph" w:customStyle="1" w:styleId="MJAbulletnormal">
    <w:name w:val="MJA bullet normal"/>
    <w:basedOn w:val="Normal"/>
    <w:link w:val="MJAbulletnormalCharChar"/>
    <w:uiPriority w:val="99"/>
    <w:qFormat/>
    <w:rsid w:val="00771CE5"/>
    <w:pPr>
      <w:numPr>
        <w:numId w:val="3"/>
      </w:numPr>
      <w:tabs>
        <w:tab w:val="left" w:pos="284"/>
      </w:tabs>
      <w:spacing w:before="120" w:after="120" w:line="280" w:lineRule="atLeast"/>
      <w:ind w:left="284"/>
    </w:pPr>
    <w:rPr>
      <w:rFonts w:ascii="Times New Roman" w:eastAsia="Times New Roman" w:hAnsi="Times New Roman"/>
      <w:color w:val="auto"/>
      <w:spacing w:val="0"/>
      <w:sz w:val="21"/>
      <w:szCs w:val="21"/>
    </w:rPr>
  </w:style>
  <w:style w:type="character" w:styleId="FootnoteReference">
    <w:name w:val="footnote reference"/>
    <w:aliases w:val="(NECG) Footnote Reference"/>
    <w:uiPriority w:val="99"/>
    <w:rsid w:val="00771CE5"/>
    <w:rPr>
      <w:vertAlign w:val="superscript"/>
    </w:rPr>
  </w:style>
  <w:style w:type="paragraph" w:styleId="FootnoteText">
    <w:name w:val="footnote text"/>
    <w:aliases w:val="Footnote Text Char3,Footnote Text Char Char1,Footnote Text Char1 Char Char,Footnote Text Char Char Char Char,Footnote Text Char1 Char Char Char Char,Footnote Text Char Char Char Char Char Char,(NECG) Footnote Text,ALTS FOOTNOTE,fn"/>
    <w:basedOn w:val="Normal"/>
    <w:link w:val="FootnoteTextChar"/>
    <w:uiPriority w:val="99"/>
    <w:rsid w:val="0034748A"/>
    <w:pPr>
      <w:tabs>
        <w:tab w:val="left" w:pos="397"/>
      </w:tabs>
      <w:spacing w:before="40" w:after="120" w:line="240" w:lineRule="auto"/>
      <w:ind w:left="568" w:hanging="284"/>
    </w:pPr>
    <w:rPr>
      <w:rFonts w:eastAsia="Times New Roman"/>
      <w:color w:val="auto"/>
      <w:spacing w:val="0"/>
      <w:sz w:val="14"/>
    </w:rPr>
  </w:style>
  <w:style w:type="character" w:customStyle="1" w:styleId="FootnoteTextChar">
    <w:name w:val="Footnote Text Char"/>
    <w:aliases w:val="Footnote Text Char3 Char,Footnote Text Char Char1 Char,Footnote Text Char1 Char Char Char,Footnote Text Char Char Char Char Char,Footnote Text Char1 Char Char Char Char Char,Footnote Text Char Char Char Char Char Char Char,fn Char"/>
    <w:link w:val="FootnoteText"/>
    <w:uiPriority w:val="99"/>
    <w:rsid w:val="0034748A"/>
    <w:rPr>
      <w:rFonts w:ascii="Arial" w:eastAsia="Times New Roman" w:hAnsi="Arial" w:cs="Arial"/>
      <w:sz w:val="14"/>
    </w:rPr>
  </w:style>
  <w:style w:type="paragraph" w:customStyle="1" w:styleId="MJAheading4">
    <w:name w:val="MJA heading 4"/>
    <w:basedOn w:val="MJAnormal"/>
    <w:next w:val="MJAnormal"/>
    <w:autoRedefine/>
    <w:qFormat/>
    <w:rsid w:val="00771CE5"/>
    <w:pPr>
      <w:keepNext/>
      <w:tabs>
        <w:tab w:val="left" w:pos="397"/>
      </w:tabs>
      <w:spacing w:before="360" w:line="240" w:lineRule="auto"/>
      <w:jc w:val="both"/>
      <w:outlineLvl w:val="3"/>
    </w:pPr>
    <w:rPr>
      <w:rFonts w:ascii="Corbel" w:hAnsi="Corbel"/>
      <w:color w:val="0093D0"/>
      <w:szCs w:val="20"/>
    </w:rPr>
  </w:style>
  <w:style w:type="character" w:customStyle="1" w:styleId="MJAbulletnormalCharChar">
    <w:name w:val="MJA bullet normal Char Char"/>
    <w:link w:val="MJAbulletnormal"/>
    <w:uiPriority w:val="99"/>
    <w:locked/>
    <w:rsid w:val="00771CE5"/>
    <w:rPr>
      <w:rFonts w:ascii="Times New Roman" w:eastAsia="Times New Roman" w:hAnsi="Times New Roman" w:cs="Arial"/>
      <w:sz w:val="21"/>
      <w:szCs w:val="21"/>
    </w:rPr>
  </w:style>
  <w:style w:type="character" w:customStyle="1" w:styleId="CaptionChar">
    <w:name w:val="Caption Char"/>
    <w:link w:val="Caption"/>
    <w:rsid w:val="00E20E7D"/>
    <w:rPr>
      <w:rFonts w:ascii="Arial" w:eastAsia="Times New Roman" w:hAnsi="Arial" w:cs="Arial"/>
      <w:bCs/>
      <w:noProof/>
      <w:color w:val="53565A"/>
    </w:rPr>
  </w:style>
  <w:style w:type="character" w:styleId="Strong">
    <w:name w:val="Strong"/>
    <w:uiPriority w:val="22"/>
    <w:qFormat/>
    <w:rsid w:val="001832B0"/>
    <w:rPr>
      <w:b/>
      <w:bCs/>
    </w:rPr>
  </w:style>
  <w:style w:type="paragraph" w:customStyle="1" w:styleId="Projectelementoutcome">
    <w:name w:val="Project element outcome"/>
    <w:basedOn w:val="MJAnormal"/>
    <w:uiPriority w:val="1"/>
    <w:qFormat/>
    <w:rsid w:val="00E444EA"/>
    <w:pPr>
      <w:spacing w:line="312" w:lineRule="auto"/>
    </w:pPr>
    <w:rPr>
      <w:color w:val="595959"/>
      <w:sz w:val="18"/>
    </w:rPr>
  </w:style>
  <w:style w:type="paragraph" w:customStyle="1" w:styleId="MJATableRow">
    <w:name w:val="MJA Table Row"/>
    <w:basedOn w:val="Normal"/>
    <w:qFormat/>
    <w:rsid w:val="00A628AB"/>
    <w:pPr>
      <w:spacing w:before="60" w:after="60" w:line="240" w:lineRule="auto"/>
    </w:pPr>
    <w:rPr>
      <w:rFonts w:ascii="Calibri" w:eastAsia="Calibri" w:hAnsi="Calibri"/>
      <w:color w:val="auto"/>
      <w:spacing w:val="0"/>
      <w:szCs w:val="22"/>
    </w:rPr>
  </w:style>
  <w:style w:type="character" w:styleId="SubtleReference">
    <w:name w:val="Subtle Reference"/>
    <w:uiPriority w:val="31"/>
    <w:qFormat/>
    <w:rsid w:val="00C277FD"/>
    <w:rPr>
      <w:smallCaps/>
      <w:color w:val="C0504D"/>
      <w:u w:val="single"/>
    </w:rPr>
  </w:style>
  <w:style w:type="character" w:styleId="IntenseReference">
    <w:name w:val="Intense Reference"/>
    <w:uiPriority w:val="32"/>
    <w:qFormat/>
    <w:rsid w:val="00C277FD"/>
    <w:rPr>
      <w:b/>
      <w:bCs/>
      <w:smallCaps/>
      <w:color w:val="C0504D"/>
      <w:spacing w:val="5"/>
      <w:u w:val="single"/>
    </w:rPr>
  </w:style>
  <w:style w:type="character" w:styleId="BookTitle">
    <w:name w:val="Book Title"/>
    <w:uiPriority w:val="33"/>
    <w:qFormat/>
    <w:rsid w:val="00C277FD"/>
    <w:rPr>
      <w:b/>
      <w:bCs/>
      <w:smallCaps/>
      <w:spacing w:val="5"/>
    </w:rPr>
  </w:style>
  <w:style w:type="paragraph" w:customStyle="1" w:styleId="Titlesmalltext">
    <w:name w:val="Title small text"/>
    <w:basedOn w:val="Subtitle"/>
    <w:uiPriority w:val="1"/>
    <w:qFormat/>
    <w:rsid w:val="00C277FD"/>
    <w:pPr>
      <w:framePr w:wrap="around"/>
      <w:spacing w:before="0" w:after="0"/>
      <w:ind w:left="0"/>
    </w:pPr>
    <w:rPr>
      <w:sz w:val="20"/>
    </w:rPr>
  </w:style>
  <w:style w:type="character" w:styleId="CommentReference">
    <w:name w:val="annotation reference"/>
    <w:uiPriority w:val="99"/>
    <w:semiHidden/>
    <w:unhideWhenUsed/>
    <w:rsid w:val="00CA026A"/>
    <w:rPr>
      <w:sz w:val="16"/>
      <w:szCs w:val="16"/>
    </w:rPr>
  </w:style>
  <w:style w:type="paragraph" w:styleId="CommentSubject">
    <w:name w:val="annotation subject"/>
    <w:basedOn w:val="Normal"/>
    <w:next w:val="Normal"/>
    <w:link w:val="CommentSubjectChar"/>
    <w:uiPriority w:val="99"/>
    <w:semiHidden/>
    <w:unhideWhenUsed/>
    <w:rsid w:val="00881F0A"/>
    <w:rPr>
      <w:b/>
      <w:bCs/>
    </w:rPr>
  </w:style>
  <w:style w:type="character" w:customStyle="1" w:styleId="CommentSubjectChar">
    <w:name w:val="Comment Subject Char"/>
    <w:link w:val="CommentSubject"/>
    <w:uiPriority w:val="99"/>
    <w:semiHidden/>
    <w:rsid w:val="00CA026A"/>
    <w:rPr>
      <w:rFonts w:ascii="Lato" w:eastAsia="Lato" w:hAnsi="Lato"/>
      <w:b/>
      <w:bCs/>
      <w:color w:val="231F20"/>
      <w:spacing w:val="-2"/>
      <w:lang w:val="en-US" w:eastAsia="en-US"/>
    </w:rPr>
  </w:style>
  <w:style w:type="paragraph" w:styleId="Revision">
    <w:name w:val="Revision"/>
    <w:hidden/>
    <w:uiPriority w:val="99"/>
    <w:semiHidden/>
    <w:rsid w:val="00000A6E"/>
    <w:rPr>
      <w:rFonts w:ascii="Lato" w:eastAsia="Lato" w:hAnsi="Lato"/>
      <w:color w:val="231F20"/>
      <w:spacing w:val="-2"/>
      <w:sz w:val="18"/>
      <w:szCs w:val="18"/>
      <w:lang w:val="en-US" w:eastAsia="en-US"/>
    </w:rPr>
  </w:style>
  <w:style w:type="paragraph" w:styleId="ListBullet">
    <w:name w:val="List Bullet"/>
    <w:basedOn w:val="Normal"/>
    <w:unhideWhenUsed/>
    <w:qFormat/>
    <w:rsid w:val="00D34700"/>
    <w:pPr>
      <w:numPr>
        <w:numId w:val="4"/>
      </w:numPr>
      <w:spacing w:before="90" w:after="90" w:line="264" w:lineRule="auto"/>
      <w:contextualSpacing/>
    </w:pPr>
    <w:rPr>
      <w:rFonts w:ascii="Verdana" w:eastAsia="Times New Roman" w:hAnsi="Verdana" w:cs="Times"/>
      <w:color w:val="auto"/>
      <w:spacing w:val="0"/>
    </w:rPr>
  </w:style>
  <w:style w:type="paragraph" w:customStyle="1" w:styleId="MJASource">
    <w:name w:val="MJA Source"/>
    <w:basedOn w:val="MJAnormal"/>
    <w:next w:val="MJAnormal"/>
    <w:rsid w:val="00F1649D"/>
    <w:pPr>
      <w:tabs>
        <w:tab w:val="left" w:pos="397"/>
      </w:tabs>
      <w:spacing w:line="240" w:lineRule="auto"/>
      <w:jc w:val="both"/>
    </w:pPr>
    <w:rPr>
      <w:rFonts w:ascii="Franklin Gothic Book" w:hAnsi="Franklin Gothic Book"/>
      <w:i/>
      <w:sz w:val="18"/>
      <w:szCs w:val="20"/>
      <w:lang w:eastAsia="en-US"/>
    </w:rPr>
  </w:style>
  <w:style w:type="character" w:customStyle="1" w:styleId="tabletextalluviumChar">
    <w:name w:val="table text alluvium Char"/>
    <w:link w:val="tabletextalluvium"/>
    <w:locked/>
    <w:rsid w:val="00F1649D"/>
    <w:rPr>
      <w:sz w:val="18"/>
      <w:szCs w:val="18"/>
    </w:rPr>
  </w:style>
  <w:style w:type="paragraph" w:customStyle="1" w:styleId="tabletextalluvium">
    <w:name w:val="table text alluvium"/>
    <w:basedOn w:val="Normal"/>
    <w:link w:val="tabletextalluviumChar"/>
    <w:qFormat/>
    <w:rsid w:val="00F1649D"/>
    <w:pPr>
      <w:spacing w:before="40" w:after="40" w:line="240" w:lineRule="auto"/>
    </w:pPr>
    <w:rPr>
      <w:rFonts w:ascii="Calibri" w:eastAsia="Calibri" w:hAnsi="Calibri"/>
      <w:color w:val="auto"/>
      <w:spacing w:val="0"/>
    </w:rPr>
  </w:style>
  <w:style w:type="character" w:styleId="FollowedHyperlink">
    <w:name w:val="FollowedHyperlink"/>
    <w:basedOn w:val="DefaultParagraphFont"/>
    <w:uiPriority w:val="99"/>
    <w:semiHidden/>
    <w:unhideWhenUsed/>
    <w:rsid w:val="00772072"/>
    <w:rPr>
      <w:color w:val="800080" w:themeColor="followedHyperlink"/>
      <w:u w:val="single"/>
    </w:rPr>
  </w:style>
  <w:style w:type="paragraph" w:customStyle="1" w:styleId="CVtext">
    <w:name w:val="CV text"/>
    <w:basedOn w:val="Normal"/>
    <w:qFormat/>
    <w:rsid w:val="00065A32"/>
    <w:pPr>
      <w:spacing w:before="120" w:after="60" w:line="240" w:lineRule="auto"/>
    </w:pPr>
    <w:rPr>
      <w:rFonts w:ascii="Calibri" w:eastAsiaTheme="minorEastAsia" w:hAnsi="Calibri" w:cstheme="minorBidi"/>
      <w:color w:val="auto"/>
      <w:spacing w:val="0"/>
      <w:szCs w:val="22"/>
    </w:rPr>
  </w:style>
  <w:style w:type="paragraph" w:customStyle="1" w:styleId="CVnameandtitle">
    <w:name w:val="CV name and title"/>
    <w:basedOn w:val="CVtext"/>
    <w:qFormat/>
    <w:rsid w:val="00065A32"/>
    <w:rPr>
      <w:rFonts w:ascii="Corbel" w:hAnsi="Corbel"/>
      <w:color w:val="0093D0"/>
      <w:sz w:val="40"/>
    </w:rPr>
  </w:style>
  <w:style w:type="paragraph" w:customStyle="1" w:styleId="CVbullet">
    <w:name w:val="CV bullet"/>
    <w:basedOn w:val="CVtext"/>
    <w:qFormat/>
    <w:rsid w:val="00065A32"/>
    <w:pPr>
      <w:numPr>
        <w:numId w:val="5"/>
      </w:numPr>
      <w:ind w:left="357" w:hanging="357"/>
    </w:pPr>
  </w:style>
  <w:style w:type="paragraph" w:customStyle="1" w:styleId="footertext">
    <w:name w:val="footer text"/>
    <w:basedOn w:val="Footer"/>
    <w:link w:val="footertextChar"/>
    <w:qFormat/>
    <w:rsid w:val="009F3F13"/>
    <w:pPr>
      <w:spacing w:after="0" w:line="240" w:lineRule="auto"/>
    </w:pPr>
    <w:rPr>
      <w:rFonts w:eastAsia="Times New Roman" w:cstheme="minorBidi"/>
      <w:color w:val="808080" w:themeColor="background1" w:themeShade="80"/>
      <w:sz w:val="15"/>
      <w:szCs w:val="15"/>
      <w:lang w:val="en-US"/>
    </w:rPr>
  </w:style>
  <w:style w:type="character" w:customStyle="1" w:styleId="footertextChar">
    <w:name w:val="footer text Char"/>
    <w:basedOn w:val="FooterChar"/>
    <w:link w:val="footertext"/>
    <w:rsid w:val="009F3F13"/>
    <w:rPr>
      <w:rFonts w:ascii="Lato" w:eastAsia="Times New Roman" w:hAnsi="Lato" w:cstheme="minorBidi"/>
      <w:color w:val="808080" w:themeColor="background1" w:themeShade="80"/>
      <w:spacing w:val="-2"/>
      <w:sz w:val="15"/>
      <w:szCs w:val="15"/>
      <w:lang w:val="en-US" w:eastAsia="en-US"/>
    </w:rPr>
  </w:style>
  <w:style w:type="character" w:customStyle="1" w:styleId="ListParagraphChar">
    <w:name w:val="List Paragraph Char"/>
    <w:basedOn w:val="DefaultParagraphFont"/>
    <w:link w:val="ListParagraph"/>
    <w:uiPriority w:val="34"/>
    <w:locked/>
    <w:rsid w:val="002F27A9"/>
    <w:rPr>
      <w:rFonts w:ascii="Arial" w:eastAsia="Lato" w:hAnsi="Arial" w:cs="Arial"/>
      <w:color w:val="231F20"/>
      <w:spacing w:val="-2"/>
    </w:rPr>
  </w:style>
  <w:style w:type="paragraph" w:styleId="NormalWeb">
    <w:name w:val="Normal (Web)"/>
    <w:basedOn w:val="Normal"/>
    <w:uiPriority w:val="99"/>
    <w:unhideWhenUsed/>
    <w:rsid w:val="005F5BC4"/>
    <w:pPr>
      <w:spacing w:before="100" w:beforeAutospacing="1" w:after="100" w:afterAutospacing="1" w:line="240" w:lineRule="auto"/>
    </w:pPr>
    <w:rPr>
      <w:rFonts w:ascii="Times New Roman" w:eastAsia="Times New Roman" w:hAnsi="Times New Roman"/>
      <w:color w:val="auto"/>
      <w:spacing w:val="0"/>
    </w:rPr>
  </w:style>
  <w:style w:type="numbering" w:customStyle="1" w:styleId="List1">
    <w:name w:val="List 1"/>
    <w:autoRedefine/>
    <w:rsid w:val="005A6E3A"/>
    <w:pPr>
      <w:numPr>
        <w:numId w:val="6"/>
      </w:numPr>
    </w:pPr>
  </w:style>
  <w:style w:type="table" w:styleId="LightShading">
    <w:name w:val="Light Shading"/>
    <w:basedOn w:val="TableNormal"/>
    <w:uiPriority w:val="60"/>
    <w:rsid w:val="005A6E3A"/>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EF1F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alifications">
    <w:name w:val="Qualifications"/>
    <w:basedOn w:val="Normal"/>
    <w:qFormat/>
    <w:rsid w:val="00340309"/>
    <w:pPr>
      <w:spacing w:after="120" w:line="230" w:lineRule="atLeast"/>
      <w:contextualSpacing/>
    </w:pPr>
    <w:rPr>
      <w:rFonts w:asciiTheme="minorHAnsi" w:eastAsia="Times New Roman" w:hAnsiTheme="minorHAnsi" w:cstheme="minorHAnsi"/>
      <w:color w:val="auto"/>
      <w:spacing w:val="0"/>
    </w:rPr>
  </w:style>
  <w:style w:type="paragraph" w:customStyle="1" w:styleId="Default">
    <w:name w:val="Default"/>
    <w:rsid w:val="00B0443D"/>
    <w:pPr>
      <w:autoSpaceDE w:val="0"/>
      <w:autoSpaceDN w:val="0"/>
      <w:adjustRightInd w:val="0"/>
    </w:pPr>
    <w:rPr>
      <w:rFonts w:ascii="Imago Light" w:hAnsi="Imago Light" w:cs="Imago Light"/>
      <w:color w:val="000000"/>
      <w:sz w:val="24"/>
      <w:szCs w:val="24"/>
    </w:rPr>
  </w:style>
  <w:style w:type="character" w:customStyle="1" w:styleId="A3">
    <w:name w:val="A3"/>
    <w:uiPriority w:val="99"/>
    <w:rsid w:val="00B0443D"/>
    <w:rPr>
      <w:rFonts w:cs="Imago Light"/>
      <w:color w:val="FFFFFF"/>
      <w:sz w:val="40"/>
      <w:szCs w:val="40"/>
    </w:rPr>
  </w:style>
  <w:style w:type="paragraph" w:customStyle="1" w:styleId="Pa9">
    <w:name w:val="Pa9"/>
    <w:basedOn w:val="Default"/>
    <w:next w:val="Default"/>
    <w:uiPriority w:val="99"/>
    <w:rsid w:val="00163A7B"/>
    <w:pPr>
      <w:spacing w:line="361" w:lineRule="atLeast"/>
    </w:pPr>
    <w:rPr>
      <w:rFonts w:ascii="Whitney Book" w:hAnsi="Whitney Book" w:cs="Times New Roman"/>
      <w:color w:val="auto"/>
    </w:rPr>
  </w:style>
  <w:style w:type="paragraph" w:customStyle="1" w:styleId="Pa0">
    <w:name w:val="Pa0"/>
    <w:basedOn w:val="Default"/>
    <w:next w:val="Default"/>
    <w:uiPriority w:val="99"/>
    <w:rsid w:val="00163A7B"/>
    <w:pPr>
      <w:spacing w:line="241" w:lineRule="atLeast"/>
    </w:pPr>
    <w:rPr>
      <w:rFonts w:ascii="Whitney Book" w:hAnsi="Whitney Book" w:cs="Times New Roman"/>
      <w:color w:val="auto"/>
    </w:rPr>
  </w:style>
  <w:style w:type="paragraph" w:customStyle="1" w:styleId="Pa2">
    <w:name w:val="Pa2"/>
    <w:basedOn w:val="Default"/>
    <w:next w:val="Default"/>
    <w:uiPriority w:val="99"/>
    <w:rsid w:val="00163A7B"/>
    <w:pPr>
      <w:spacing w:line="481" w:lineRule="atLeast"/>
    </w:pPr>
    <w:rPr>
      <w:rFonts w:ascii="Whitney Book" w:hAnsi="Whitney Book" w:cs="Times New Roman"/>
      <w:color w:val="auto"/>
    </w:rPr>
  </w:style>
  <w:style w:type="character" w:customStyle="1" w:styleId="A1">
    <w:name w:val="A1"/>
    <w:uiPriority w:val="99"/>
    <w:rsid w:val="00163A7B"/>
    <w:rPr>
      <w:rFonts w:cs="Whitney Book"/>
      <w:color w:val="625D4F"/>
      <w:sz w:val="18"/>
      <w:szCs w:val="18"/>
    </w:rPr>
  </w:style>
  <w:style w:type="character" w:customStyle="1" w:styleId="Heading1Char">
    <w:name w:val="Heading 1 Char"/>
    <w:basedOn w:val="DefaultParagraphFont"/>
    <w:link w:val="Heading1"/>
    <w:uiPriority w:val="9"/>
    <w:rsid w:val="000F6BAD"/>
    <w:rPr>
      <w:rFonts w:ascii="Arial" w:eastAsia="Lato Light" w:hAnsi="Arial" w:cs="Arial"/>
      <w:color w:val="262626" w:themeColor="text1" w:themeTint="D9"/>
      <w:spacing w:val="-1"/>
      <w:sz w:val="60"/>
      <w:szCs w:val="60"/>
    </w:rPr>
  </w:style>
  <w:style w:type="paragraph" w:styleId="Bibliography">
    <w:name w:val="Bibliography"/>
    <w:basedOn w:val="Normal"/>
    <w:next w:val="Normal"/>
    <w:uiPriority w:val="37"/>
    <w:unhideWhenUsed/>
    <w:rsid w:val="006F6088"/>
  </w:style>
  <w:style w:type="table" w:customStyle="1" w:styleId="PlainTable21">
    <w:name w:val="Plain Table 21"/>
    <w:basedOn w:val="TableNormal"/>
    <w:uiPriority w:val="99"/>
    <w:rsid w:val="00521713"/>
    <w:rPr>
      <w:rFonts w:asciiTheme="minorHAnsi" w:eastAsiaTheme="minorEastAsia" w:hAnsiTheme="minorHAnsi" w:cstheme="minorBidi"/>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51">
    <w:name w:val="A5+1"/>
    <w:uiPriority w:val="99"/>
    <w:rsid w:val="00124A45"/>
    <w:rPr>
      <w:rFonts w:cs="Verlag Light"/>
      <w:color w:val="211D1E"/>
      <w:sz w:val="11"/>
      <w:szCs w:val="11"/>
    </w:rPr>
  </w:style>
  <w:style w:type="table" w:styleId="LightList-Accent1">
    <w:name w:val="Light List Accent 1"/>
    <w:basedOn w:val="TableNormal"/>
    <w:uiPriority w:val="61"/>
    <w:rsid w:val="004739B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gc">
    <w:name w:val="_tgc"/>
    <w:basedOn w:val="DefaultParagraphFont"/>
    <w:rsid w:val="00B02EFB"/>
  </w:style>
  <w:style w:type="paragraph" w:customStyle="1" w:styleId="Heading1a">
    <w:name w:val="Heading 1a"/>
    <w:basedOn w:val="Heading1"/>
    <w:uiPriority w:val="1"/>
    <w:qFormat/>
    <w:rsid w:val="00EB5BA9"/>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Lato" w:hAnsi="Arial" w:cs="Arial"/>
      <w:color w:val="231F20"/>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6743">
      <w:bodyDiv w:val="1"/>
      <w:marLeft w:val="0"/>
      <w:marRight w:val="0"/>
      <w:marTop w:val="0"/>
      <w:marBottom w:val="0"/>
      <w:divBdr>
        <w:top w:val="none" w:sz="0" w:space="0" w:color="auto"/>
        <w:left w:val="none" w:sz="0" w:space="0" w:color="auto"/>
        <w:bottom w:val="none" w:sz="0" w:space="0" w:color="auto"/>
        <w:right w:val="none" w:sz="0" w:space="0" w:color="auto"/>
      </w:divBdr>
    </w:div>
    <w:div w:id="33583956">
      <w:bodyDiv w:val="1"/>
      <w:marLeft w:val="0"/>
      <w:marRight w:val="0"/>
      <w:marTop w:val="0"/>
      <w:marBottom w:val="0"/>
      <w:divBdr>
        <w:top w:val="none" w:sz="0" w:space="0" w:color="auto"/>
        <w:left w:val="none" w:sz="0" w:space="0" w:color="auto"/>
        <w:bottom w:val="none" w:sz="0" w:space="0" w:color="auto"/>
        <w:right w:val="none" w:sz="0" w:space="0" w:color="auto"/>
      </w:divBdr>
    </w:div>
    <w:div w:id="34349668">
      <w:bodyDiv w:val="1"/>
      <w:marLeft w:val="0"/>
      <w:marRight w:val="0"/>
      <w:marTop w:val="0"/>
      <w:marBottom w:val="0"/>
      <w:divBdr>
        <w:top w:val="none" w:sz="0" w:space="0" w:color="auto"/>
        <w:left w:val="none" w:sz="0" w:space="0" w:color="auto"/>
        <w:bottom w:val="none" w:sz="0" w:space="0" w:color="auto"/>
        <w:right w:val="none" w:sz="0" w:space="0" w:color="auto"/>
      </w:divBdr>
    </w:div>
    <w:div w:id="42754932">
      <w:bodyDiv w:val="1"/>
      <w:marLeft w:val="0"/>
      <w:marRight w:val="0"/>
      <w:marTop w:val="0"/>
      <w:marBottom w:val="0"/>
      <w:divBdr>
        <w:top w:val="none" w:sz="0" w:space="0" w:color="auto"/>
        <w:left w:val="none" w:sz="0" w:space="0" w:color="auto"/>
        <w:bottom w:val="none" w:sz="0" w:space="0" w:color="auto"/>
        <w:right w:val="none" w:sz="0" w:space="0" w:color="auto"/>
      </w:divBdr>
    </w:div>
    <w:div w:id="45372448">
      <w:bodyDiv w:val="1"/>
      <w:marLeft w:val="0"/>
      <w:marRight w:val="0"/>
      <w:marTop w:val="0"/>
      <w:marBottom w:val="0"/>
      <w:divBdr>
        <w:top w:val="none" w:sz="0" w:space="0" w:color="auto"/>
        <w:left w:val="none" w:sz="0" w:space="0" w:color="auto"/>
        <w:bottom w:val="none" w:sz="0" w:space="0" w:color="auto"/>
        <w:right w:val="none" w:sz="0" w:space="0" w:color="auto"/>
      </w:divBdr>
    </w:div>
    <w:div w:id="46147461">
      <w:bodyDiv w:val="1"/>
      <w:marLeft w:val="0"/>
      <w:marRight w:val="0"/>
      <w:marTop w:val="0"/>
      <w:marBottom w:val="0"/>
      <w:divBdr>
        <w:top w:val="none" w:sz="0" w:space="0" w:color="auto"/>
        <w:left w:val="none" w:sz="0" w:space="0" w:color="auto"/>
        <w:bottom w:val="none" w:sz="0" w:space="0" w:color="auto"/>
        <w:right w:val="none" w:sz="0" w:space="0" w:color="auto"/>
      </w:divBdr>
    </w:div>
    <w:div w:id="46347118">
      <w:bodyDiv w:val="1"/>
      <w:marLeft w:val="0"/>
      <w:marRight w:val="0"/>
      <w:marTop w:val="0"/>
      <w:marBottom w:val="0"/>
      <w:divBdr>
        <w:top w:val="none" w:sz="0" w:space="0" w:color="auto"/>
        <w:left w:val="none" w:sz="0" w:space="0" w:color="auto"/>
        <w:bottom w:val="none" w:sz="0" w:space="0" w:color="auto"/>
        <w:right w:val="none" w:sz="0" w:space="0" w:color="auto"/>
      </w:divBdr>
    </w:div>
    <w:div w:id="56563064">
      <w:bodyDiv w:val="1"/>
      <w:marLeft w:val="0"/>
      <w:marRight w:val="0"/>
      <w:marTop w:val="0"/>
      <w:marBottom w:val="0"/>
      <w:divBdr>
        <w:top w:val="none" w:sz="0" w:space="0" w:color="auto"/>
        <w:left w:val="none" w:sz="0" w:space="0" w:color="auto"/>
        <w:bottom w:val="none" w:sz="0" w:space="0" w:color="auto"/>
        <w:right w:val="none" w:sz="0" w:space="0" w:color="auto"/>
      </w:divBdr>
    </w:div>
    <w:div w:id="79566026">
      <w:bodyDiv w:val="1"/>
      <w:marLeft w:val="0"/>
      <w:marRight w:val="0"/>
      <w:marTop w:val="0"/>
      <w:marBottom w:val="0"/>
      <w:divBdr>
        <w:top w:val="none" w:sz="0" w:space="0" w:color="auto"/>
        <w:left w:val="none" w:sz="0" w:space="0" w:color="auto"/>
        <w:bottom w:val="none" w:sz="0" w:space="0" w:color="auto"/>
        <w:right w:val="none" w:sz="0" w:space="0" w:color="auto"/>
      </w:divBdr>
    </w:div>
    <w:div w:id="82338058">
      <w:bodyDiv w:val="1"/>
      <w:marLeft w:val="0"/>
      <w:marRight w:val="0"/>
      <w:marTop w:val="0"/>
      <w:marBottom w:val="0"/>
      <w:divBdr>
        <w:top w:val="none" w:sz="0" w:space="0" w:color="auto"/>
        <w:left w:val="none" w:sz="0" w:space="0" w:color="auto"/>
        <w:bottom w:val="none" w:sz="0" w:space="0" w:color="auto"/>
        <w:right w:val="none" w:sz="0" w:space="0" w:color="auto"/>
      </w:divBdr>
    </w:div>
    <w:div w:id="88308731">
      <w:bodyDiv w:val="1"/>
      <w:marLeft w:val="0"/>
      <w:marRight w:val="0"/>
      <w:marTop w:val="0"/>
      <w:marBottom w:val="0"/>
      <w:divBdr>
        <w:top w:val="none" w:sz="0" w:space="0" w:color="auto"/>
        <w:left w:val="none" w:sz="0" w:space="0" w:color="auto"/>
        <w:bottom w:val="none" w:sz="0" w:space="0" w:color="auto"/>
        <w:right w:val="none" w:sz="0" w:space="0" w:color="auto"/>
      </w:divBdr>
    </w:div>
    <w:div w:id="88932714">
      <w:bodyDiv w:val="1"/>
      <w:marLeft w:val="0"/>
      <w:marRight w:val="0"/>
      <w:marTop w:val="0"/>
      <w:marBottom w:val="0"/>
      <w:divBdr>
        <w:top w:val="none" w:sz="0" w:space="0" w:color="auto"/>
        <w:left w:val="none" w:sz="0" w:space="0" w:color="auto"/>
        <w:bottom w:val="none" w:sz="0" w:space="0" w:color="auto"/>
        <w:right w:val="none" w:sz="0" w:space="0" w:color="auto"/>
      </w:divBdr>
    </w:div>
    <w:div w:id="93287674">
      <w:bodyDiv w:val="1"/>
      <w:marLeft w:val="0"/>
      <w:marRight w:val="0"/>
      <w:marTop w:val="0"/>
      <w:marBottom w:val="0"/>
      <w:divBdr>
        <w:top w:val="none" w:sz="0" w:space="0" w:color="auto"/>
        <w:left w:val="none" w:sz="0" w:space="0" w:color="auto"/>
        <w:bottom w:val="none" w:sz="0" w:space="0" w:color="auto"/>
        <w:right w:val="none" w:sz="0" w:space="0" w:color="auto"/>
      </w:divBdr>
    </w:div>
    <w:div w:id="101415556">
      <w:bodyDiv w:val="1"/>
      <w:marLeft w:val="0"/>
      <w:marRight w:val="0"/>
      <w:marTop w:val="0"/>
      <w:marBottom w:val="0"/>
      <w:divBdr>
        <w:top w:val="none" w:sz="0" w:space="0" w:color="auto"/>
        <w:left w:val="none" w:sz="0" w:space="0" w:color="auto"/>
        <w:bottom w:val="none" w:sz="0" w:space="0" w:color="auto"/>
        <w:right w:val="none" w:sz="0" w:space="0" w:color="auto"/>
      </w:divBdr>
    </w:div>
    <w:div w:id="128138199">
      <w:bodyDiv w:val="1"/>
      <w:marLeft w:val="0"/>
      <w:marRight w:val="0"/>
      <w:marTop w:val="0"/>
      <w:marBottom w:val="0"/>
      <w:divBdr>
        <w:top w:val="none" w:sz="0" w:space="0" w:color="auto"/>
        <w:left w:val="none" w:sz="0" w:space="0" w:color="auto"/>
        <w:bottom w:val="none" w:sz="0" w:space="0" w:color="auto"/>
        <w:right w:val="none" w:sz="0" w:space="0" w:color="auto"/>
      </w:divBdr>
    </w:div>
    <w:div w:id="136150422">
      <w:bodyDiv w:val="1"/>
      <w:marLeft w:val="0"/>
      <w:marRight w:val="0"/>
      <w:marTop w:val="0"/>
      <w:marBottom w:val="0"/>
      <w:divBdr>
        <w:top w:val="none" w:sz="0" w:space="0" w:color="auto"/>
        <w:left w:val="none" w:sz="0" w:space="0" w:color="auto"/>
        <w:bottom w:val="none" w:sz="0" w:space="0" w:color="auto"/>
        <w:right w:val="none" w:sz="0" w:space="0" w:color="auto"/>
      </w:divBdr>
    </w:div>
    <w:div w:id="137960699">
      <w:bodyDiv w:val="1"/>
      <w:marLeft w:val="0"/>
      <w:marRight w:val="0"/>
      <w:marTop w:val="0"/>
      <w:marBottom w:val="0"/>
      <w:divBdr>
        <w:top w:val="none" w:sz="0" w:space="0" w:color="auto"/>
        <w:left w:val="none" w:sz="0" w:space="0" w:color="auto"/>
        <w:bottom w:val="none" w:sz="0" w:space="0" w:color="auto"/>
        <w:right w:val="none" w:sz="0" w:space="0" w:color="auto"/>
      </w:divBdr>
    </w:div>
    <w:div w:id="148523221">
      <w:bodyDiv w:val="1"/>
      <w:marLeft w:val="0"/>
      <w:marRight w:val="0"/>
      <w:marTop w:val="0"/>
      <w:marBottom w:val="0"/>
      <w:divBdr>
        <w:top w:val="none" w:sz="0" w:space="0" w:color="auto"/>
        <w:left w:val="none" w:sz="0" w:space="0" w:color="auto"/>
        <w:bottom w:val="none" w:sz="0" w:space="0" w:color="auto"/>
        <w:right w:val="none" w:sz="0" w:space="0" w:color="auto"/>
      </w:divBdr>
    </w:div>
    <w:div w:id="152374806">
      <w:bodyDiv w:val="1"/>
      <w:marLeft w:val="0"/>
      <w:marRight w:val="0"/>
      <w:marTop w:val="0"/>
      <w:marBottom w:val="0"/>
      <w:divBdr>
        <w:top w:val="none" w:sz="0" w:space="0" w:color="auto"/>
        <w:left w:val="none" w:sz="0" w:space="0" w:color="auto"/>
        <w:bottom w:val="none" w:sz="0" w:space="0" w:color="auto"/>
        <w:right w:val="none" w:sz="0" w:space="0" w:color="auto"/>
      </w:divBdr>
    </w:div>
    <w:div w:id="153038325">
      <w:bodyDiv w:val="1"/>
      <w:marLeft w:val="0"/>
      <w:marRight w:val="0"/>
      <w:marTop w:val="0"/>
      <w:marBottom w:val="0"/>
      <w:divBdr>
        <w:top w:val="none" w:sz="0" w:space="0" w:color="auto"/>
        <w:left w:val="none" w:sz="0" w:space="0" w:color="auto"/>
        <w:bottom w:val="none" w:sz="0" w:space="0" w:color="auto"/>
        <w:right w:val="none" w:sz="0" w:space="0" w:color="auto"/>
      </w:divBdr>
    </w:div>
    <w:div w:id="165752310">
      <w:bodyDiv w:val="1"/>
      <w:marLeft w:val="0"/>
      <w:marRight w:val="0"/>
      <w:marTop w:val="0"/>
      <w:marBottom w:val="0"/>
      <w:divBdr>
        <w:top w:val="none" w:sz="0" w:space="0" w:color="auto"/>
        <w:left w:val="none" w:sz="0" w:space="0" w:color="auto"/>
        <w:bottom w:val="none" w:sz="0" w:space="0" w:color="auto"/>
        <w:right w:val="none" w:sz="0" w:space="0" w:color="auto"/>
      </w:divBdr>
    </w:div>
    <w:div w:id="183401716">
      <w:bodyDiv w:val="1"/>
      <w:marLeft w:val="0"/>
      <w:marRight w:val="0"/>
      <w:marTop w:val="0"/>
      <w:marBottom w:val="0"/>
      <w:divBdr>
        <w:top w:val="none" w:sz="0" w:space="0" w:color="auto"/>
        <w:left w:val="none" w:sz="0" w:space="0" w:color="auto"/>
        <w:bottom w:val="none" w:sz="0" w:space="0" w:color="auto"/>
        <w:right w:val="none" w:sz="0" w:space="0" w:color="auto"/>
      </w:divBdr>
    </w:div>
    <w:div w:id="200360979">
      <w:bodyDiv w:val="1"/>
      <w:marLeft w:val="0"/>
      <w:marRight w:val="0"/>
      <w:marTop w:val="0"/>
      <w:marBottom w:val="0"/>
      <w:divBdr>
        <w:top w:val="none" w:sz="0" w:space="0" w:color="auto"/>
        <w:left w:val="none" w:sz="0" w:space="0" w:color="auto"/>
        <w:bottom w:val="none" w:sz="0" w:space="0" w:color="auto"/>
        <w:right w:val="none" w:sz="0" w:space="0" w:color="auto"/>
      </w:divBdr>
    </w:div>
    <w:div w:id="212814207">
      <w:bodyDiv w:val="1"/>
      <w:marLeft w:val="0"/>
      <w:marRight w:val="0"/>
      <w:marTop w:val="0"/>
      <w:marBottom w:val="0"/>
      <w:divBdr>
        <w:top w:val="none" w:sz="0" w:space="0" w:color="auto"/>
        <w:left w:val="none" w:sz="0" w:space="0" w:color="auto"/>
        <w:bottom w:val="none" w:sz="0" w:space="0" w:color="auto"/>
        <w:right w:val="none" w:sz="0" w:space="0" w:color="auto"/>
      </w:divBdr>
    </w:div>
    <w:div w:id="219438368">
      <w:bodyDiv w:val="1"/>
      <w:marLeft w:val="0"/>
      <w:marRight w:val="0"/>
      <w:marTop w:val="0"/>
      <w:marBottom w:val="0"/>
      <w:divBdr>
        <w:top w:val="none" w:sz="0" w:space="0" w:color="auto"/>
        <w:left w:val="none" w:sz="0" w:space="0" w:color="auto"/>
        <w:bottom w:val="none" w:sz="0" w:space="0" w:color="auto"/>
        <w:right w:val="none" w:sz="0" w:space="0" w:color="auto"/>
      </w:divBdr>
    </w:div>
    <w:div w:id="220292278">
      <w:bodyDiv w:val="1"/>
      <w:marLeft w:val="0"/>
      <w:marRight w:val="0"/>
      <w:marTop w:val="0"/>
      <w:marBottom w:val="0"/>
      <w:divBdr>
        <w:top w:val="none" w:sz="0" w:space="0" w:color="auto"/>
        <w:left w:val="none" w:sz="0" w:space="0" w:color="auto"/>
        <w:bottom w:val="none" w:sz="0" w:space="0" w:color="auto"/>
        <w:right w:val="none" w:sz="0" w:space="0" w:color="auto"/>
      </w:divBdr>
    </w:div>
    <w:div w:id="233048777">
      <w:bodyDiv w:val="1"/>
      <w:marLeft w:val="0"/>
      <w:marRight w:val="0"/>
      <w:marTop w:val="0"/>
      <w:marBottom w:val="0"/>
      <w:divBdr>
        <w:top w:val="none" w:sz="0" w:space="0" w:color="auto"/>
        <w:left w:val="none" w:sz="0" w:space="0" w:color="auto"/>
        <w:bottom w:val="none" w:sz="0" w:space="0" w:color="auto"/>
        <w:right w:val="none" w:sz="0" w:space="0" w:color="auto"/>
      </w:divBdr>
    </w:div>
    <w:div w:id="233128073">
      <w:bodyDiv w:val="1"/>
      <w:marLeft w:val="0"/>
      <w:marRight w:val="0"/>
      <w:marTop w:val="0"/>
      <w:marBottom w:val="0"/>
      <w:divBdr>
        <w:top w:val="none" w:sz="0" w:space="0" w:color="auto"/>
        <w:left w:val="none" w:sz="0" w:space="0" w:color="auto"/>
        <w:bottom w:val="none" w:sz="0" w:space="0" w:color="auto"/>
        <w:right w:val="none" w:sz="0" w:space="0" w:color="auto"/>
      </w:divBdr>
    </w:div>
    <w:div w:id="234358258">
      <w:bodyDiv w:val="1"/>
      <w:marLeft w:val="0"/>
      <w:marRight w:val="0"/>
      <w:marTop w:val="0"/>
      <w:marBottom w:val="0"/>
      <w:divBdr>
        <w:top w:val="none" w:sz="0" w:space="0" w:color="auto"/>
        <w:left w:val="none" w:sz="0" w:space="0" w:color="auto"/>
        <w:bottom w:val="none" w:sz="0" w:space="0" w:color="auto"/>
        <w:right w:val="none" w:sz="0" w:space="0" w:color="auto"/>
      </w:divBdr>
    </w:div>
    <w:div w:id="235283237">
      <w:bodyDiv w:val="1"/>
      <w:marLeft w:val="0"/>
      <w:marRight w:val="0"/>
      <w:marTop w:val="0"/>
      <w:marBottom w:val="0"/>
      <w:divBdr>
        <w:top w:val="none" w:sz="0" w:space="0" w:color="auto"/>
        <w:left w:val="none" w:sz="0" w:space="0" w:color="auto"/>
        <w:bottom w:val="none" w:sz="0" w:space="0" w:color="auto"/>
        <w:right w:val="none" w:sz="0" w:space="0" w:color="auto"/>
      </w:divBdr>
    </w:div>
    <w:div w:id="236943617">
      <w:bodyDiv w:val="1"/>
      <w:marLeft w:val="0"/>
      <w:marRight w:val="0"/>
      <w:marTop w:val="0"/>
      <w:marBottom w:val="0"/>
      <w:divBdr>
        <w:top w:val="none" w:sz="0" w:space="0" w:color="auto"/>
        <w:left w:val="none" w:sz="0" w:space="0" w:color="auto"/>
        <w:bottom w:val="none" w:sz="0" w:space="0" w:color="auto"/>
        <w:right w:val="none" w:sz="0" w:space="0" w:color="auto"/>
      </w:divBdr>
    </w:div>
    <w:div w:id="241838915">
      <w:bodyDiv w:val="1"/>
      <w:marLeft w:val="0"/>
      <w:marRight w:val="0"/>
      <w:marTop w:val="0"/>
      <w:marBottom w:val="0"/>
      <w:divBdr>
        <w:top w:val="none" w:sz="0" w:space="0" w:color="auto"/>
        <w:left w:val="none" w:sz="0" w:space="0" w:color="auto"/>
        <w:bottom w:val="none" w:sz="0" w:space="0" w:color="auto"/>
        <w:right w:val="none" w:sz="0" w:space="0" w:color="auto"/>
      </w:divBdr>
    </w:div>
    <w:div w:id="248975930">
      <w:bodyDiv w:val="1"/>
      <w:marLeft w:val="0"/>
      <w:marRight w:val="0"/>
      <w:marTop w:val="0"/>
      <w:marBottom w:val="0"/>
      <w:divBdr>
        <w:top w:val="none" w:sz="0" w:space="0" w:color="auto"/>
        <w:left w:val="none" w:sz="0" w:space="0" w:color="auto"/>
        <w:bottom w:val="none" w:sz="0" w:space="0" w:color="auto"/>
        <w:right w:val="none" w:sz="0" w:space="0" w:color="auto"/>
      </w:divBdr>
    </w:div>
    <w:div w:id="250042568">
      <w:bodyDiv w:val="1"/>
      <w:marLeft w:val="0"/>
      <w:marRight w:val="0"/>
      <w:marTop w:val="0"/>
      <w:marBottom w:val="0"/>
      <w:divBdr>
        <w:top w:val="none" w:sz="0" w:space="0" w:color="auto"/>
        <w:left w:val="none" w:sz="0" w:space="0" w:color="auto"/>
        <w:bottom w:val="none" w:sz="0" w:space="0" w:color="auto"/>
        <w:right w:val="none" w:sz="0" w:space="0" w:color="auto"/>
      </w:divBdr>
    </w:div>
    <w:div w:id="252133983">
      <w:bodyDiv w:val="1"/>
      <w:marLeft w:val="0"/>
      <w:marRight w:val="0"/>
      <w:marTop w:val="0"/>
      <w:marBottom w:val="0"/>
      <w:divBdr>
        <w:top w:val="none" w:sz="0" w:space="0" w:color="auto"/>
        <w:left w:val="none" w:sz="0" w:space="0" w:color="auto"/>
        <w:bottom w:val="none" w:sz="0" w:space="0" w:color="auto"/>
        <w:right w:val="none" w:sz="0" w:space="0" w:color="auto"/>
      </w:divBdr>
    </w:div>
    <w:div w:id="254242892">
      <w:bodyDiv w:val="1"/>
      <w:marLeft w:val="0"/>
      <w:marRight w:val="0"/>
      <w:marTop w:val="0"/>
      <w:marBottom w:val="0"/>
      <w:divBdr>
        <w:top w:val="none" w:sz="0" w:space="0" w:color="auto"/>
        <w:left w:val="none" w:sz="0" w:space="0" w:color="auto"/>
        <w:bottom w:val="none" w:sz="0" w:space="0" w:color="auto"/>
        <w:right w:val="none" w:sz="0" w:space="0" w:color="auto"/>
      </w:divBdr>
    </w:div>
    <w:div w:id="270086478">
      <w:bodyDiv w:val="1"/>
      <w:marLeft w:val="0"/>
      <w:marRight w:val="0"/>
      <w:marTop w:val="0"/>
      <w:marBottom w:val="0"/>
      <w:divBdr>
        <w:top w:val="none" w:sz="0" w:space="0" w:color="auto"/>
        <w:left w:val="none" w:sz="0" w:space="0" w:color="auto"/>
        <w:bottom w:val="none" w:sz="0" w:space="0" w:color="auto"/>
        <w:right w:val="none" w:sz="0" w:space="0" w:color="auto"/>
      </w:divBdr>
    </w:div>
    <w:div w:id="271330140">
      <w:bodyDiv w:val="1"/>
      <w:marLeft w:val="0"/>
      <w:marRight w:val="0"/>
      <w:marTop w:val="0"/>
      <w:marBottom w:val="0"/>
      <w:divBdr>
        <w:top w:val="none" w:sz="0" w:space="0" w:color="auto"/>
        <w:left w:val="none" w:sz="0" w:space="0" w:color="auto"/>
        <w:bottom w:val="none" w:sz="0" w:space="0" w:color="auto"/>
        <w:right w:val="none" w:sz="0" w:space="0" w:color="auto"/>
      </w:divBdr>
    </w:div>
    <w:div w:id="271518739">
      <w:bodyDiv w:val="1"/>
      <w:marLeft w:val="0"/>
      <w:marRight w:val="0"/>
      <w:marTop w:val="0"/>
      <w:marBottom w:val="0"/>
      <w:divBdr>
        <w:top w:val="none" w:sz="0" w:space="0" w:color="auto"/>
        <w:left w:val="none" w:sz="0" w:space="0" w:color="auto"/>
        <w:bottom w:val="none" w:sz="0" w:space="0" w:color="auto"/>
        <w:right w:val="none" w:sz="0" w:space="0" w:color="auto"/>
      </w:divBdr>
    </w:div>
    <w:div w:id="274364556">
      <w:bodyDiv w:val="1"/>
      <w:marLeft w:val="0"/>
      <w:marRight w:val="0"/>
      <w:marTop w:val="0"/>
      <w:marBottom w:val="0"/>
      <w:divBdr>
        <w:top w:val="none" w:sz="0" w:space="0" w:color="auto"/>
        <w:left w:val="none" w:sz="0" w:space="0" w:color="auto"/>
        <w:bottom w:val="none" w:sz="0" w:space="0" w:color="auto"/>
        <w:right w:val="none" w:sz="0" w:space="0" w:color="auto"/>
      </w:divBdr>
    </w:div>
    <w:div w:id="276301902">
      <w:bodyDiv w:val="1"/>
      <w:marLeft w:val="0"/>
      <w:marRight w:val="0"/>
      <w:marTop w:val="0"/>
      <w:marBottom w:val="0"/>
      <w:divBdr>
        <w:top w:val="none" w:sz="0" w:space="0" w:color="auto"/>
        <w:left w:val="none" w:sz="0" w:space="0" w:color="auto"/>
        <w:bottom w:val="none" w:sz="0" w:space="0" w:color="auto"/>
        <w:right w:val="none" w:sz="0" w:space="0" w:color="auto"/>
      </w:divBdr>
    </w:div>
    <w:div w:id="296110389">
      <w:bodyDiv w:val="1"/>
      <w:marLeft w:val="0"/>
      <w:marRight w:val="0"/>
      <w:marTop w:val="0"/>
      <w:marBottom w:val="0"/>
      <w:divBdr>
        <w:top w:val="none" w:sz="0" w:space="0" w:color="auto"/>
        <w:left w:val="none" w:sz="0" w:space="0" w:color="auto"/>
        <w:bottom w:val="none" w:sz="0" w:space="0" w:color="auto"/>
        <w:right w:val="none" w:sz="0" w:space="0" w:color="auto"/>
      </w:divBdr>
    </w:div>
    <w:div w:id="302807832">
      <w:bodyDiv w:val="1"/>
      <w:marLeft w:val="0"/>
      <w:marRight w:val="0"/>
      <w:marTop w:val="0"/>
      <w:marBottom w:val="0"/>
      <w:divBdr>
        <w:top w:val="none" w:sz="0" w:space="0" w:color="auto"/>
        <w:left w:val="none" w:sz="0" w:space="0" w:color="auto"/>
        <w:bottom w:val="none" w:sz="0" w:space="0" w:color="auto"/>
        <w:right w:val="none" w:sz="0" w:space="0" w:color="auto"/>
      </w:divBdr>
    </w:div>
    <w:div w:id="317737013">
      <w:bodyDiv w:val="1"/>
      <w:marLeft w:val="0"/>
      <w:marRight w:val="0"/>
      <w:marTop w:val="0"/>
      <w:marBottom w:val="0"/>
      <w:divBdr>
        <w:top w:val="none" w:sz="0" w:space="0" w:color="auto"/>
        <w:left w:val="none" w:sz="0" w:space="0" w:color="auto"/>
        <w:bottom w:val="none" w:sz="0" w:space="0" w:color="auto"/>
        <w:right w:val="none" w:sz="0" w:space="0" w:color="auto"/>
      </w:divBdr>
    </w:div>
    <w:div w:id="338388483">
      <w:bodyDiv w:val="1"/>
      <w:marLeft w:val="0"/>
      <w:marRight w:val="0"/>
      <w:marTop w:val="0"/>
      <w:marBottom w:val="0"/>
      <w:divBdr>
        <w:top w:val="none" w:sz="0" w:space="0" w:color="auto"/>
        <w:left w:val="none" w:sz="0" w:space="0" w:color="auto"/>
        <w:bottom w:val="none" w:sz="0" w:space="0" w:color="auto"/>
        <w:right w:val="none" w:sz="0" w:space="0" w:color="auto"/>
      </w:divBdr>
    </w:div>
    <w:div w:id="341051861">
      <w:bodyDiv w:val="1"/>
      <w:marLeft w:val="0"/>
      <w:marRight w:val="0"/>
      <w:marTop w:val="0"/>
      <w:marBottom w:val="0"/>
      <w:divBdr>
        <w:top w:val="none" w:sz="0" w:space="0" w:color="auto"/>
        <w:left w:val="none" w:sz="0" w:space="0" w:color="auto"/>
        <w:bottom w:val="none" w:sz="0" w:space="0" w:color="auto"/>
        <w:right w:val="none" w:sz="0" w:space="0" w:color="auto"/>
      </w:divBdr>
    </w:div>
    <w:div w:id="373969310">
      <w:bodyDiv w:val="1"/>
      <w:marLeft w:val="0"/>
      <w:marRight w:val="0"/>
      <w:marTop w:val="0"/>
      <w:marBottom w:val="0"/>
      <w:divBdr>
        <w:top w:val="none" w:sz="0" w:space="0" w:color="auto"/>
        <w:left w:val="none" w:sz="0" w:space="0" w:color="auto"/>
        <w:bottom w:val="none" w:sz="0" w:space="0" w:color="auto"/>
        <w:right w:val="none" w:sz="0" w:space="0" w:color="auto"/>
      </w:divBdr>
    </w:div>
    <w:div w:id="375013481">
      <w:bodyDiv w:val="1"/>
      <w:marLeft w:val="0"/>
      <w:marRight w:val="0"/>
      <w:marTop w:val="0"/>
      <w:marBottom w:val="0"/>
      <w:divBdr>
        <w:top w:val="none" w:sz="0" w:space="0" w:color="auto"/>
        <w:left w:val="none" w:sz="0" w:space="0" w:color="auto"/>
        <w:bottom w:val="none" w:sz="0" w:space="0" w:color="auto"/>
        <w:right w:val="none" w:sz="0" w:space="0" w:color="auto"/>
      </w:divBdr>
    </w:div>
    <w:div w:id="381364163">
      <w:bodyDiv w:val="1"/>
      <w:marLeft w:val="0"/>
      <w:marRight w:val="0"/>
      <w:marTop w:val="0"/>
      <w:marBottom w:val="0"/>
      <w:divBdr>
        <w:top w:val="none" w:sz="0" w:space="0" w:color="auto"/>
        <w:left w:val="none" w:sz="0" w:space="0" w:color="auto"/>
        <w:bottom w:val="none" w:sz="0" w:space="0" w:color="auto"/>
        <w:right w:val="none" w:sz="0" w:space="0" w:color="auto"/>
      </w:divBdr>
    </w:div>
    <w:div w:id="383061086">
      <w:bodyDiv w:val="1"/>
      <w:marLeft w:val="0"/>
      <w:marRight w:val="0"/>
      <w:marTop w:val="0"/>
      <w:marBottom w:val="0"/>
      <w:divBdr>
        <w:top w:val="none" w:sz="0" w:space="0" w:color="auto"/>
        <w:left w:val="none" w:sz="0" w:space="0" w:color="auto"/>
        <w:bottom w:val="none" w:sz="0" w:space="0" w:color="auto"/>
        <w:right w:val="none" w:sz="0" w:space="0" w:color="auto"/>
      </w:divBdr>
    </w:div>
    <w:div w:id="383531306">
      <w:bodyDiv w:val="1"/>
      <w:marLeft w:val="0"/>
      <w:marRight w:val="0"/>
      <w:marTop w:val="0"/>
      <w:marBottom w:val="0"/>
      <w:divBdr>
        <w:top w:val="none" w:sz="0" w:space="0" w:color="auto"/>
        <w:left w:val="none" w:sz="0" w:space="0" w:color="auto"/>
        <w:bottom w:val="none" w:sz="0" w:space="0" w:color="auto"/>
        <w:right w:val="none" w:sz="0" w:space="0" w:color="auto"/>
      </w:divBdr>
    </w:div>
    <w:div w:id="386145049">
      <w:bodyDiv w:val="1"/>
      <w:marLeft w:val="0"/>
      <w:marRight w:val="0"/>
      <w:marTop w:val="0"/>
      <w:marBottom w:val="0"/>
      <w:divBdr>
        <w:top w:val="none" w:sz="0" w:space="0" w:color="auto"/>
        <w:left w:val="none" w:sz="0" w:space="0" w:color="auto"/>
        <w:bottom w:val="none" w:sz="0" w:space="0" w:color="auto"/>
        <w:right w:val="none" w:sz="0" w:space="0" w:color="auto"/>
      </w:divBdr>
    </w:div>
    <w:div w:id="398291594">
      <w:bodyDiv w:val="1"/>
      <w:marLeft w:val="0"/>
      <w:marRight w:val="0"/>
      <w:marTop w:val="0"/>
      <w:marBottom w:val="0"/>
      <w:divBdr>
        <w:top w:val="none" w:sz="0" w:space="0" w:color="auto"/>
        <w:left w:val="none" w:sz="0" w:space="0" w:color="auto"/>
        <w:bottom w:val="none" w:sz="0" w:space="0" w:color="auto"/>
        <w:right w:val="none" w:sz="0" w:space="0" w:color="auto"/>
      </w:divBdr>
    </w:div>
    <w:div w:id="408382998">
      <w:bodyDiv w:val="1"/>
      <w:marLeft w:val="0"/>
      <w:marRight w:val="0"/>
      <w:marTop w:val="0"/>
      <w:marBottom w:val="0"/>
      <w:divBdr>
        <w:top w:val="none" w:sz="0" w:space="0" w:color="auto"/>
        <w:left w:val="none" w:sz="0" w:space="0" w:color="auto"/>
        <w:bottom w:val="none" w:sz="0" w:space="0" w:color="auto"/>
        <w:right w:val="none" w:sz="0" w:space="0" w:color="auto"/>
      </w:divBdr>
    </w:div>
    <w:div w:id="410738557">
      <w:bodyDiv w:val="1"/>
      <w:marLeft w:val="0"/>
      <w:marRight w:val="0"/>
      <w:marTop w:val="0"/>
      <w:marBottom w:val="0"/>
      <w:divBdr>
        <w:top w:val="none" w:sz="0" w:space="0" w:color="auto"/>
        <w:left w:val="none" w:sz="0" w:space="0" w:color="auto"/>
        <w:bottom w:val="none" w:sz="0" w:space="0" w:color="auto"/>
        <w:right w:val="none" w:sz="0" w:space="0" w:color="auto"/>
      </w:divBdr>
    </w:div>
    <w:div w:id="411317274">
      <w:bodyDiv w:val="1"/>
      <w:marLeft w:val="0"/>
      <w:marRight w:val="0"/>
      <w:marTop w:val="0"/>
      <w:marBottom w:val="0"/>
      <w:divBdr>
        <w:top w:val="none" w:sz="0" w:space="0" w:color="auto"/>
        <w:left w:val="none" w:sz="0" w:space="0" w:color="auto"/>
        <w:bottom w:val="none" w:sz="0" w:space="0" w:color="auto"/>
        <w:right w:val="none" w:sz="0" w:space="0" w:color="auto"/>
      </w:divBdr>
    </w:div>
    <w:div w:id="419713900">
      <w:bodyDiv w:val="1"/>
      <w:marLeft w:val="0"/>
      <w:marRight w:val="0"/>
      <w:marTop w:val="0"/>
      <w:marBottom w:val="0"/>
      <w:divBdr>
        <w:top w:val="none" w:sz="0" w:space="0" w:color="auto"/>
        <w:left w:val="none" w:sz="0" w:space="0" w:color="auto"/>
        <w:bottom w:val="none" w:sz="0" w:space="0" w:color="auto"/>
        <w:right w:val="none" w:sz="0" w:space="0" w:color="auto"/>
      </w:divBdr>
    </w:div>
    <w:div w:id="429551688">
      <w:bodyDiv w:val="1"/>
      <w:marLeft w:val="0"/>
      <w:marRight w:val="0"/>
      <w:marTop w:val="0"/>
      <w:marBottom w:val="0"/>
      <w:divBdr>
        <w:top w:val="none" w:sz="0" w:space="0" w:color="auto"/>
        <w:left w:val="none" w:sz="0" w:space="0" w:color="auto"/>
        <w:bottom w:val="none" w:sz="0" w:space="0" w:color="auto"/>
        <w:right w:val="none" w:sz="0" w:space="0" w:color="auto"/>
      </w:divBdr>
    </w:div>
    <w:div w:id="431970942">
      <w:bodyDiv w:val="1"/>
      <w:marLeft w:val="0"/>
      <w:marRight w:val="0"/>
      <w:marTop w:val="0"/>
      <w:marBottom w:val="0"/>
      <w:divBdr>
        <w:top w:val="none" w:sz="0" w:space="0" w:color="auto"/>
        <w:left w:val="none" w:sz="0" w:space="0" w:color="auto"/>
        <w:bottom w:val="none" w:sz="0" w:space="0" w:color="auto"/>
        <w:right w:val="none" w:sz="0" w:space="0" w:color="auto"/>
      </w:divBdr>
    </w:div>
    <w:div w:id="434521896">
      <w:bodyDiv w:val="1"/>
      <w:marLeft w:val="0"/>
      <w:marRight w:val="0"/>
      <w:marTop w:val="0"/>
      <w:marBottom w:val="0"/>
      <w:divBdr>
        <w:top w:val="none" w:sz="0" w:space="0" w:color="auto"/>
        <w:left w:val="none" w:sz="0" w:space="0" w:color="auto"/>
        <w:bottom w:val="none" w:sz="0" w:space="0" w:color="auto"/>
        <w:right w:val="none" w:sz="0" w:space="0" w:color="auto"/>
      </w:divBdr>
    </w:div>
    <w:div w:id="435487401">
      <w:bodyDiv w:val="1"/>
      <w:marLeft w:val="0"/>
      <w:marRight w:val="0"/>
      <w:marTop w:val="0"/>
      <w:marBottom w:val="0"/>
      <w:divBdr>
        <w:top w:val="none" w:sz="0" w:space="0" w:color="auto"/>
        <w:left w:val="none" w:sz="0" w:space="0" w:color="auto"/>
        <w:bottom w:val="none" w:sz="0" w:space="0" w:color="auto"/>
        <w:right w:val="none" w:sz="0" w:space="0" w:color="auto"/>
      </w:divBdr>
    </w:div>
    <w:div w:id="436222363">
      <w:bodyDiv w:val="1"/>
      <w:marLeft w:val="0"/>
      <w:marRight w:val="0"/>
      <w:marTop w:val="0"/>
      <w:marBottom w:val="0"/>
      <w:divBdr>
        <w:top w:val="none" w:sz="0" w:space="0" w:color="auto"/>
        <w:left w:val="none" w:sz="0" w:space="0" w:color="auto"/>
        <w:bottom w:val="none" w:sz="0" w:space="0" w:color="auto"/>
        <w:right w:val="none" w:sz="0" w:space="0" w:color="auto"/>
      </w:divBdr>
    </w:div>
    <w:div w:id="439105028">
      <w:bodyDiv w:val="1"/>
      <w:marLeft w:val="0"/>
      <w:marRight w:val="0"/>
      <w:marTop w:val="0"/>
      <w:marBottom w:val="0"/>
      <w:divBdr>
        <w:top w:val="none" w:sz="0" w:space="0" w:color="auto"/>
        <w:left w:val="none" w:sz="0" w:space="0" w:color="auto"/>
        <w:bottom w:val="none" w:sz="0" w:space="0" w:color="auto"/>
        <w:right w:val="none" w:sz="0" w:space="0" w:color="auto"/>
      </w:divBdr>
    </w:div>
    <w:div w:id="449864070">
      <w:bodyDiv w:val="1"/>
      <w:marLeft w:val="0"/>
      <w:marRight w:val="0"/>
      <w:marTop w:val="0"/>
      <w:marBottom w:val="0"/>
      <w:divBdr>
        <w:top w:val="none" w:sz="0" w:space="0" w:color="auto"/>
        <w:left w:val="none" w:sz="0" w:space="0" w:color="auto"/>
        <w:bottom w:val="none" w:sz="0" w:space="0" w:color="auto"/>
        <w:right w:val="none" w:sz="0" w:space="0" w:color="auto"/>
      </w:divBdr>
    </w:div>
    <w:div w:id="457771056">
      <w:bodyDiv w:val="1"/>
      <w:marLeft w:val="0"/>
      <w:marRight w:val="0"/>
      <w:marTop w:val="0"/>
      <w:marBottom w:val="0"/>
      <w:divBdr>
        <w:top w:val="none" w:sz="0" w:space="0" w:color="auto"/>
        <w:left w:val="none" w:sz="0" w:space="0" w:color="auto"/>
        <w:bottom w:val="none" w:sz="0" w:space="0" w:color="auto"/>
        <w:right w:val="none" w:sz="0" w:space="0" w:color="auto"/>
      </w:divBdr>
    </w:div>
    <w:div w:id="458694775">
      <w:bodyDiv w:val="1"/>
      <w:marLeft w:val="0"/>
      <w:marRight w:val="0"/>
      <w:marTop w:val="0"/>
      <w:marBottom w:val="0"/>
      <w:divBdr>
        <w:top w:val="none" w:sz="0" w:space="0" w:color="auto"/>
        <w:left w:val="none" w:sz="0" w:space="0" w:color="auto"/>
        <w:bottom w:val="none" w:sz="0" w:space="0" w:color="auto"/>
        <w:right w:val="none" w:sz="0" w:space="0" w:color="auto"/>
      </w:divBdr>
    </w:div>
    <w:div w:id="469401063">
      <w:bodyDiv w:val="1"/>
      <w:marLeft w:val="0"/>
      <w:marRight w:val="0"/>
      <w:marTop w:val="0"/>
      <w:marBottom w:val="0"/>
      <w:divBdr>
        <w:top w:val="none" w:sz="0" w:space="0" w:color="auto"/>
        <w:left w:val="none" w:sz="0" w:space="0" w:color="auto"/>
        <w:bottom w:val="none" w:sz="0" w:space="0" w:color="auto"/>
        <w:right w:val="none" w:sz="0" w:space="0" w:color="auto"/>
      </w:divBdr>
    </w:div>
    <w:div w:id="469979804">
      <w:bodyDiv w:val="1"/>
      <w:marLeft w:val="0"/>
      <w:marRight w:val="0"/>
      <w:marTop w:val="0"/>
      <w:marBottom w:val="0"/>
      <w:divBdr>
        <w:top w:val="none" w:sz="0" w:space="0" w:color="auto"/>
        <w:left w:val="none" w:sz="0" w:space="0" w:color="auto"/>
        <w:bottom w:val="none" w:sz="0" w:space="0" w:color="auto"/>
        <w:right w:val="none" w:sz="0" w:space="0" w:color="auto"/>
      </w:divBdr>
    </w:div>
    <w:div w:id="476342819">
      <w:bodyDiv w:val="1"/>
      <w:marLeft w:val="0"/>
      <w:marRight w:val="0"/>
      <w:marTop w:val="0"/>
      <w:marBottom w:val="0"/>
      <w:divBdr>
        <w:top w:val="none" w:sz="0" w:space="0" w:color="auto"/>
        <w:left w:val="none" w:sz="0" w:space="0" w:color="auto"/>
        <w:bottom w:val="none" w:sz="0" w:space="0" w:color="auto"/>
        <w:right w:val="none" w:sz="0" w:space="0" w:color="auto"/>
      </w:divBdr>
    </w:div>
    <w:div w:id="482814840">
      <w:bodyDiv w:val="1"/>
      <w:marLeft w:val="0"/>
      <w:marRight w:val="0"/>
      <w:marTop w:val="0"/>
      <w:marBottom w:val="0"/>
      <w:divBdr>
        <w:top w:val="none" w:sz="0" w:space="0" w:color="auto"/>
        <w:left w:val="none" w:sz="0" w:space="0" w:color="auto"/>
        <w:bottom w:val="none" w:sz="0" w:space="0" w:color="auto"/>
        <w:right w:val="none" w:sz="0" w:space="0" w:color="auto"/>
      </w:divBdr>
    </w:div>
    <w:div w:id="487864552">
      <w:bodyDiv w:val="1"/>
      <w:marLeft w:val="0"/>
      <w:marRight w:val="0"/>
      <w:marTop w:val="0"/>
      <w:marBottom w:val="0"/>
      <w:divBdr>
        <w:top w:val="none" w:sz="0" w:space="0" w:color="auto"/>
        <w:left w:val="none" w:sz="0" w:space="0" w:color="auto"/>
        <w:bottom w:val="none" w:sz="0" w:space="0" w:color="auto"/>
        <w:right w:val="none" w:sz="0" w:space="0" w:color="auto"/>
      </w:divBdr>
    </w:div>
    <w:div w:id="488250414">
      <w:bodyDiv w:val="1"/>
      <w:marLeft w:val="0"/>
      <w:marRight w:val="0"/>
      <w:marTop w:val="0"/>
      <w:marBottom w:val="0"/>
      <w:divBdr>
        <w:top w:val="none" w:sz="0" w:space="0" w:color="auto"/>
        <w:left w:val="none" w:sz="0" w:space="0" w:color="auto"/>
        <w:bottom w:val="none" w:sz="0" w:space="0" w:color="auto"/>
        <w:right w:val="none" w:sz="0" w:space="0" w:color="auto"/>
      </w:divBdr>
    </w:div>
    <w:div w:id="491338484">
      <w:bodyDiv w:val="1"/>
      <w:marLeft w:val="0"/>
      <w:marRight w:val="0"/>
      <w:marTop w:val="0"/>
      <w:marBottom w:val="0"/>
      <w:divBdr>
        <w:top w:val="none" w:sz="0" w:space="0" w:color="auto"/>
        <w:left w:val="none" w:sz="0" w:space="0" w:color="auto"/>
        <w:bottom w:val="none" w:sz="0" w:space="0" w:color="auto"/>
        <w:right w:val="none" w:sz="0" w:space="0" w:color="auto"/>
      </w:divBdr>
    </w:div>
    <w:div w:id="496923132">
      <w:bodyDiv w:val="1"/>
      <w:marLeft w:val="0"/>
      <w:marRight w:val="0"/>
      <w:marTop w:val="0"/>
      <w:marBottom w:val="0"/>
      <w:divBdr>
        <w:top w:val="none" w:sz="0" w:space="0" w:color="auto"/>
        <w:left w:val="none" w:sz="0" w:space="0" w:color="auto"/>
        <w:bottom w:val="none" w:sz="0" w:space="0" w:color="auto"/>
        <w:right w:val="none" w:sz="0" w:space="0" w:color="auto"/>
      </w:divBdr>
    </w:div>
    <w:div w:id="506746245">
      <w:bodyDiv w:val="1"/>
      <w:marLeft w:val="0"/>
      <w:marRight w:val="0"/>
      <w:marTop w:val="0"/>
      <w:marBottom w:val="0"/>
      <w:divBdr>
        <w:top w:val="none" w:sz="0" w:space="0" w:color="auto"/>
        <w:left w:val="none" w:sz="0" w:space="0" w:color="auto"/>
        <w:bottom w:val="none" w:sz="0" w:space="0" w:color="auto"/>
        <w:right w:val="none" w:sz="0" w:space="0" w:color="auto"/>
      </w:divBdr>
    </w:div>
    <w:div w:id="509490900">
      <w:bodyDiv w:val="1"/>
      <w:marLeft w:val="0"/>
      <w:marRight w:val="0"/>
      <w:marTop w:val="0"/>
      <w:marBottom w:val="0"/>
      <w:divBdr>
        <w:top w:val="none" w:sz="0" w:space="0" w:color="auto"/>
        <w:left w:val="none" w:sz="0" w:space="0" w:color="auto"/>
        <w:bottom w:val="none" w:sz="0" w:space="0" w:color="auto"/>
        <w:right w:val="none" w:sz="0" w:space="0" w:color="auto"/>
      </w:divBdr>
    </w:div>
    <w:div w:id="517157663">
      <w:bodyDiv w:val="1"/>
      <w:marLeft w:val="0"/>
      <w:marRight w:val="0"/>
      <w:marTop w:val="0"/>
      <w:marBottom w:val="0"/>
      <w:divBdr>
        <w:top w:val="none" w:sz="0" w:space="0" w:color="auto"/>
        <w:left w:val="none" w:sz="0" w:space="0" w:color="auto"/>
        <w:bottom w:val="none" w:sz="0" w:space="0" w:color="auto"/>
        <w:right w:val="none" w:sz="0" w:space="0" w:color="auto"/>
      </w:divBdr>
    </w:div>
    <w:div w:id="518010281">
      <w:bodyDiv w:val="1"/>
      <w:marLeft w:val="0"/>
      <w:marRight w:val="0"/>
      <w:marTop w:val="0"/>
      <w:marBottom w:val="0"/>
      <w:divBdr>
        <w:top w:val="none" w:sz="0" w:space="0" w:color="auto"/>
        <w:left w:val="none" w:sz="0" w:space="0" w:color="auto"/>
        <w:bottom w:val="none" w:sz="0" w:space="0" w:color="auto"/>
        <w:right w:val="none" w:sz="0" w:space="0" w:color="auto"/>
      </w:divBdr>
    </w:div>
    <w:div w:id="519004706">
      <w:bodyDiv w:val="1"/>
      <w:marLeft w:val="0"/>
      <w:marRight w:val="0"/>
      <w:marTop w:val="0"/>
      <w:marBottom w:val="0"/>
      <w:divBdr>
        <w:top w:val="none" w:sz="0" w:space="0" w:color="auto"/>
        <w:left w:val="none" w:sz="0" w:space="0" w:color="auto"/>
        <w:bottom w:val="none" w:sz="0" w:space="0" w:color="auto"/>
        <w:right w:val="none" w:sz="0" w:space="0" w:color="auto"/>
      </w:divBdr>
    </w:div>
    <w:div w:id="531383406">
      <w:bodyDiv w:val="1"/>
      <w:marLeft w:val="0"/>
      <w:marRight w:val="0"/>
      <w:marTop w:val="0"/>
      <w:marBottom w:val="0"/>
      <w:divBdr>
        <w:top w:val="none" w:sz="0" w:space="0" w:color="auto"/>
        <w:left w:val="none" w:sz="0" w:space="0" w:color="auto"/>
        <w:bottom w:val="none" w:sz="0" w:space="0" w:color="auto"/>
        <w:right w:val="none" w:sz="0" w:space="0" w:color="auto"/>
      </w:divBdr>
    </w:div>
    <w:div w:id="531962136">
      <w:bodyDiv w:val="1"/>
      <w:marLeft w:val="0"/>
      <w:marRight w:val="0"/>
      <w:marTop w:val="0"/>
      <w:marBottom w:val="0"/>
      <w:divBdr>
        <w:top w:val="none" w:sz="0" w:space="0" w:color="auto"/>
        <w:left w:val="none" w:sz="0" w:space="0" w:color="auto"/>
        <w:bottom w:val="none" w:sz="0" w:space="0" w:color="auto"/>
        <w:right w:val="none" w:sz="0" w:space="0" w:color="auto"/>
      </w:divBdr>
    </w:div>
    <w:div w:id="532350754">
      <w:bodyDiv w:val="1"/>
      <w:marLeft w:val="0"/>
      <w:marRight w:val="0"/>
      <w:marTop w:val="0"/>
      <w:marBottom w:val="0"/>
      <w:divBdr>
        <w:top w:val="none" w:sz="0" w:space="0" w:color="auto"/>
        <w:left w:val="none" w:sz="0" w:space="0" w:color="auto"/>
        <w:bottom w:val="none" w:sz="0" w:space="0" w:color="auto"/>
        <w:right w:val="none" w:sz="0" w:space="0" w:color="auto"/>
      </w:divBdr>
    </w:div>
    <w:div w:id="538737623">
      <w:bodyDiv w:val="1"/>
      <w:marLeft w:val="0"/>
      <w:marRight w:val="0"/>
      <w:marTop w:val="0"/>
      <w:marBottom w:val="0"/>
      <w:divBdr>
        <w:top w:val="none" w:sz="0" w:space="0" w:color="auto"/>
        <w:left w:val="none" w:sz="0" w:space="0" w:color="auto"/>
        <w:bottom w:val="none" w:sz="0" w:space="0" w:color="auto"/>
        <w:right w:val="none" w:sz="0" w:space="0" w:color="auto"/>
      </w:divBdr>
    </w:div>
    <w:div w:id="541786659">
      <w:bodyDiv w:val="1"/>
      <w:marLeft w:val="0"/>
      <w:marRight w:val="0"/>
      <w:marTop w:val="0"/>
      <w:marBottom w:val="0"/>
      <w:divBdr>
        <w:top w:val="none" w:sz="0" w:space="0" w:color="auto"/>
        <w:left w:val="none" w:sz="0" w:space="0" w:color="auto"/>
        <w:bottom w:val="none" w:sz="0" w:space="0" w:color="auto"/>
        <w:right w:val="none" w:sz="0" w:space="0" w:color="auto"/>
      </w:divBdr>
    </w:div>
    <w:div w:id="545601200">
      <w:bodyDiv w:val="1"/>
      <w:marLeft w:val="0"/>
      <w:marRight w:val="0"/>
      <w:marTop w:val="0"/>
      <w:marBottom w:val="0"/>
      <w:divBdr>
        <w:top w:val="none" w:sz="0" w:space="0" w:color="auto"/>
        <w:left w:val="none" w:sz="0" w:space="0" w:color="auto"/>
        <w:bottom w:val="none" w:sz="0" w:space="0" w:color="auto"/>
        <w:right w:val="none" w:sz="0" w:space="0" w:color="auto"/>
      </w:divBdr>
    </w:div>
    <w:div w:id="549264908">
      <w:bodyDiv w:val="1"/>
      <w:marLeft w:val="0"/>
      <w:marRight w:val="0"/>
      <w:marTop w:val="0"/>
      <w:marBottom w:val="0"/>
      <w:divBdr>
        <w:top w:val="none" w:sz="0" w:space="0" w:color="auto"/>
        <w:left w:val="none" w:sz="0" w:space="0" w:color="auto"/>
        <w:bottom w:val="none" w:sz="0" w:space="0" w:color="auto"/>
        <w:right w:val="none" w:sz="0" w:space="0" w:color="auto"/>
      </w:divBdr>
    </w:div>
    <w:div w:id="550970030">
      <w:bodyDiv w:val="1"/>
      <w:marLeft w:val="0"/>
      <w:marRight w:val="0"/>
      <w:marTop w:val="0"/>
      <w:marBottom w:val="0"/>
      <w:divBdr>
        <w:top w:val="none" w:sz="0" w:space="0" w:color="auto"/>
        <w:left w:val="none" w:sz="0" w:space="0" w:color="auto"/>
        <w:bottom w:val="none" w:sz="0" w:space="0" w:color="auto"/>
        <w:right w:val="none" w:sz="0" w:space="0" w:color="auto"/>
      </w:divBdr>
    </w:div>
    <w:div w:id="554049534">
      <w:bodyDiv w:val="1"/>
      <w:marLeft w:val="0"/>
      <w:marRight w:val="0"/>
      <w:marTop w:val="0"/>
      <w:marBottom w:val="0"/>
      <w:divBdr>
        <w:top w:val="none" w:sz="0" w:space="0" w:color="auto"/>
        <w:left w:val="none" w:sz="0" w:space="0" w:color="auto"/>
        <w:bottom w:val="none" w:sz="0" w:space="0" w:color="auto"/>
        <w:right w:val="none" w:sz="0" w:space="0" w:color="auto"/>
      </w:divBdr>
    </w:div>
    <w:div w:id="557278587">
      <w:bodyDiv w:val="1"/>
      <w:marLeft w:val="0"/>
      <w:marRight w:val="0"/>
      <w:marTop w:val="0"/>
      <w:marBottom w:val="0"/>
      <w:divBdr>
        <w:top w:val="none" w:sz="0" w:space="0" w:color="auto"/>
        <w:left w:val="none" w:sz="0" w:space="0" w:color="auto"/>
        <w:bottom w:val="none" w:sz="0" w:space="0" w:color="auto"/>
        <w:right w:val="none" w:sz="0" w:space="0" w:color="auto"/>
      </w:divBdr>
    </w:div>
    <w:div w:id="561059020">
      <w:bodyDiv w:val="1"/>
      <w:marLeft w:val="0"/>
      <w:marRight w:val="0"/>
      <w:marTop w:val="0"/>
      <w:marBottom w:val="0"/>
      <w:divBdr>
        <w:top w:val="none" w:sz="0" w:space="0" w:color="auto"/>
        <w:left w:val="none" w:sz="0" w:space="0" w:color="auto"/>
        <w:bottom w:val="none" w:sz="0" w:space="0" w:color="auto"/>
        <w:right w:val="none" w:sz="0" w:space="0" w:color="auto"/>
      </w:divBdr>
    </w:div>
    <w:div w:id="562301979">
      <w:bodyDiv w:val="1"/>
      <w:marLeft w:val="0"/>
      <w:marRight w:val="0"/>
      <w:marTop w:val="0"/>
      <w:marBottom w:val="0"/>
      <w:divBdr>
        <w:top w:val="none" w:sz="0" w:space="0" w:color="auto"/>
        <w:left w:val="none" w:sz="0" w:space="0" w:color="auto"/>
        <w:bottom w:val="none" w:sz="0" w:space="0" w:color="auto"/>
        <w:right w:val="none" w:sz="0" w:space="0" w:color="auto"/>
      </w:divBdr>
    </w:div>
    <w:div w:id="583077705">
      <w:bodyDiv w:val="1"/>
      <w:marLeft w:val="0"/>
      <w:marRight w:val="0"/>
      <w:marTop w:val="0"/>
      <w:marBottom w:val="0"/>
      <w:divBdr>
        <w:top w:val="none" w:sz="0" w:space="0" w:color="auto"/>
        <w:left w:val="none" w:sz="0" w:space="0" w:color="auto"/>
        <w:bottom w:val="none" w:sz="0" w:space="0" w:color="auto"/>
        <w:right w:val="none" w:sz="0" w:space="0" w:color="auto"/>
      </w:divBdr>
    </w:div>
    <w:div w:id="589579272">
      <w:bodyDiv w:val="1"/>
      <w:marLeft w:val="0"/>
      <w:marRight w:val="0"/>
      <w:marTop w:val="0"/>
      <w:marBottom w:val="0"/>
      <w:divBdr>
        <w:top w:val="none" w:sz="0" w:space="0" w:color="auto"/>
        <w:left w:val="none" w:sz="0" w:space="0" w:color="auto"/>
        <w:bottom w:val="none" w:sz="0" w:space="0" w:color="auto"/>
        <w:right w:val="none" w:sz="0" w:space="0" w:color="auto"/>
      </w:divBdr>
    </w:div>
    <w:div w:id="595863698">
      <w:bodyDiv w:val="1"/>
      <w:marLeft w:val="0"/>
      <w:marRight w:val="0"/>
      <w:marTop w:val="0"/>
      <w:marBottom w:val="0"/>
      <w:divBdr>
        <w:top w:val="none" w:sz="0" w:space="0" w:color="auto"/>
        <w:left w:val="none" w:sz="0" w:space="0" w:color="auto"/>
        <w:bottom w:val="none" w:sz="0" w:space="0" w:color="auto"/>
        <w:right w:val="none" w:sz="0" w:space="0" w:color="auto"/>
      </w:divBdr>
    </w:div>
    <w:div w:id="599990164">
      <w:bodyDiv w:val="1"/>
      <w:marLeft w:val="0"/>
      <w:marRight w:val="0"/>
      <w:marTop w:val="0"/>
      <w:marBottom w:val="0"/>
      <w:divBdr>
        <w:top w:val="none" w:sz="0" w:space="0" w:color="auto"/>
        <w:left w:val="none" w:sz="0" w:space="0" w:color="auto"/>
        <w:bottom w:val="none" w:sz="0" w:space="0" w:color="auto"/>
        <w:right w:val="none" w:sz="0" w:space="0" w:color="auto"/>
      </w:divBdr>
    </w:div>
    <w:div w:id="607469533">
      <w:bodyDiv w:val="1"/>
      <w:marLeft w:val="0"/>
      <w:marRight w:val="0"/>
      <w:marTop w:val="0"/>
      <w:marBottom w:val="0"/>
      <w:divBdr>
        <w:top w:val="none" w:sz="0" w:space="0" w:color="auto"/>
        <w:left w:val="none" w:sz="0" w:space="0" w:color="auto"/>
        <w:bottom w:val="none" w:sz="0" w:space="0" w:color="auto"/>
        <w:right w:val="none" w:sz="0" w:space="0" w:color="auto"/>
      </w:divBdr>
    </w:div>
    <w:div w:id="611863215">
      <w:bodyDiv w:val="1"/>
      <w:marLeft w:val="0"/>
      <w:marRight w:val="0"/>
      <w:marTop w:val="0"/>
      <w:marBottom w:val="0"/>
      <w:divBdr>
        <w:top w:val="none" w:sz="0" w:space="0" w:color="auto"/>
        <w:left w:val="none" w:sz="0" w:space="0" w:color="auto"/>
        <w:bottom w:val="none" w:sz="0" w:space="0" w:color="auto"/>
        <w:right w:val="none" w:sz="0" w:space="0" w:color="auto"/>
      </w:divBdr>
    </w:div>
    <w:div w:id="613907744">
      <w:bodyDiv w:val="1"/>
      <w:marLeft w:val="0"/>
      <w:marRight w:val="0"/>
      <w:marTop w:val="0"/>
      <w:marBottom w:val="0"/>
      <w:divBdr>
        <w:top w:val="none" w:sz="0" w:space="0" w:color="auto"/>
        <w:left w:val="none" w:sz="0" w:space="0" w:color="auto"/>
        <w:bottom w:val="none" w:sz="0" w:space="0" w:color="auto"/>
        <w:right w:val="none" w:sz="0" w:space="0" w:color="auto"/>
      </w:divBdr>
    </w:div>
    <w:div w:id="615410809">
      <w:bodyDiv w:val="1"/>
      <w:marLeft w:val="0"/>
      <w:marRight w:val="0"/>
      <w:marTop w:val="0"/>
      <w:marBottom w:val="0"/>
      <w:divBdr>
        <w:top w:val="none" w:sz="0" w:space="0" w:color="auto"/>
        <w:left w:val="none" w:sz="0" w:space="0" w:color="auto"/>
        <w:bottom w:val="none" w:sz="0" w:space="0" w:color="auto"/>
        <w:right w:val="none" w:sz="0" w:space="0" w:color="auto"/>
      </w:divBdr>
    </w:div>
    <w:div w:id="616108660">
      <w:bodyDiv w:val="1"/>
      <w:marLeft w:val="0"/>
      <w:marRight w:val="0"/>
      <w:marTop w:val="0"/>
      <w:marBottom w:val="0"/>
      <w:divBdr>
        <w:top w:val="none" w:sz="0" w:space="0" w:color="auto"/>
        <w:left w:val="none" w:sz="0" w:space="0" w:color="auto"/>
        <w:bottom w:val="none" w:sz="0" w:space="0" w:color="auto"/>
        <w:right w:val="none" w:sz="0" w:space="0" w:color="auto"/>
      </w:divBdr>
    </w:div>
    <w:div w:id="621422172">
      <w:bodyDiv w:val="1"/>
      <w:marLeft w:val="0"/>
      <w:marRight w:val="0"/>
      <w:marTop w:val="0"/>
      <w:marBottom w:val="0"/>
      <w:divBdr>
        <w:top w:val="none" w:sz="0" w:space="0" w:color="auto"/>
        <w:left w:val="none" w:sz="0" w:space="0" w:color="auto"/>
        <w:bottom w:val="none" w:sz="0" w:space="0" w:color="auto"/>
        <w:right w:val="none" w:sz="0" w:space="0" w:color="auto"/>
      </w:divBdr>
    </w:div>
    <w:div w:id="621576174">
      <w:bodyDiv w:val="1"/>
      <w:marLeft w:val="0"/>
      <w:marRight w:val="0"/>
      <w:marTop w:val="0"/>
      <w:marBottom w:val="0"/>
      <w:divBdr>
        <w:top w:val="none" w:sz="0" w:space="0" w:color="auto"/>
        <w:left w:val="none" w:sz="0" w:space="0" w:color="auto"/>
        <w:bottom w:val="none" w:sz="0" w:space="0" w:color="auto"/>
        <w:right w:val="none" w:sz="0" w:space="0" w:color="auto"/>
      </w:divBdr>
    </w:div>
    <w:div w:id="623198045">
      <w:bodyDiv w:val="1"/>
      <w:marLeft w:val="0"/>
      <w:marRight w:val="0"/>
      <w:marTop w:val="0"/>
      <w:marBottom w:val="0"/>
      <w:divBdr>
        <w:top w:val="none" w:sz="0" w:space="0" w:color="auto"/>
        <w:left w:val="none" w:sz="0" w:space="0" w:color="auto"/>
        <w:bottom w:val="none" w:sz="0" w:space="0" w:color="auto"/>
        <w:right w:val="none" w:sz="0" w:space="0" w:color="auto"/>
      </w:divBdr>
    </w:div>
    <w:div w:id="623318210">
      <w:bodyDiv w:val="1"/>
      <w:marLeft w:val="0"/>
      <w:marRight w:val="0"/>
      <w:marTop w:val="0"/>
      <w:marBottom w:val="0"/>
      <w:divBdr>
        <w:top w:val="none" w:sz="0" w:space="0" w:color="auto"/>
        <w:left w:val="none" w:sz="0" w:space="0" w:color="auto"/>
        <w:bottom w:val="none" w:sz="0" w:space="0" w:color="auto"/>
        <w:right w:val="none" w:sz="0" w:space="0" w:color="auto"/>
      </w:divBdr>
    </w:div>
    <w:div w:id="649677228">
      <w:bodyDiv w:val="1"/>
      <w:marLeft w:val="0"/>
      <w:marRight w:val="0"/>
      <w:marTop w:val="0"/>
      <w:marBottom w:val="0"/>
      <w:divBdr>
        <w:top w:val="none" w:sz="0" w:space="0" w:color="auto"/>
        <w:left w:val="none" w:sz="0" w:space="0" w:color="auto"/>
        <w:bottom w:val="none" w:sz="0" w:space="0" w:color="auto"/>
        <w:right w:val="none" w:sz="0" w:space="0" w:color="auto"/>
      </w:divBdr>
    </w:div>
    <w:div w:id="666133376">
      <w:bodyDiv w:val="1"/>
      <w:marLeft w:val="0"/>
      <w:marRight w:val="0"/>
      <w:marTop w:val="0"/>
      <w:marBottom w:val="0"/>
      <w:divBdr>
        <w:top w:val="none" w:sz="0" w:space="0" w:color="auto"/>
        <w:left w:val="none" w:sz="0" w:space="0" w:color="auto"/>
        <w:bottom w:val="none" w:sz="0" w:space="0" w:color="auto"/>
        <w:right w:val="none" w:sz="0" w:space="0" w:color="auto"/>
      </w:divBdr>
    </w:div>
    <w:div w:id="670302215">
      <w:bodyDiv w:val="1"/>
      <w:marLeft w:val="0"/>
      <w:marRight w:val="0"/>
      <w:marTop w:val="0"/>
      <w:marBottom w:val="0"/>
      <w:divBdr>
        <w:top w:val="none" w:sz="0" w:space="0" w:color="auto"/>
        <w:left w:val="none" w:sz="0" w:space="0" w:color="auto"/>
        <w:bottom w:val="none" w:sz="0" w:space="0" w:color="auto"/>
        <w:right w:val="none" w:sz="0" w:space="0" w:color="auto"/>
      </w:divBdr>
    </w:div>
    <w:div w:id="672614020">
      <w:bodyDiv w:val="1"/>
      <w:marLeft w:val="0"/>
      <w:marRight w:val="0"/>
      <w:marTop w:val="0"/>
      <w:marBottom w:val="0"/>
      <w:divBdr>
        <w:top w:val="none" w:sz="0" w:space="0" w:color="auto"/>
        <w:left w:val="none" w:sz="0" w:space="0" w:color="auto"/>
        <w:bottom w:val="none" w:sz="0" w:space="0" w:color="auto"/>
        <w:right w:val="none" w:sz="0" w:space="0" w:color="auto"/>
      </w:divBdr>
    </w:div>
    <w:div w:id="673996922">
      <w:bodyDiv w:val="1"/>
      <w:marLeft w:val="0"/>
      <w:marRight w:val="0"/>
      <w:marTop w:val="0"/>
      <w:marBottom w:val="0"/>
      <w:divBdr>
        <w:top w:val="none" w:sz="0" w:space="0" w:color="auto"/>
        <w:left w:val="none" w:sz="0" w:space="0" w:color="auto"/>
        <w:bottom w:val="none" w:sz="0" w:space="0" w:color="auto"/>
        <w:right w:val="none" w:sz="0" w:space="0" w:color="auto"/>
      </w:divBdr>
    </w:div>
    <w:div w:id="675612966">
      <w:bodyDiv w:val="1"/>
      <w:marLeft w:val="0"/>
      <w:marRight w:val="0"/>
      <w:marTop w:val="0"/>
      <w:marBottom w:val="0"/>
      <w:divBdr>
        <w:top w:val="none" w:sz="0" w:space="0" w:color="auto"/>
        <w:left w:val="none" w:sz="0" w:space="0" w:color="auto"/>
        <w:bottom w:val="none" w:sz="0" w:space="0" w:color="auto"/>
        <w:right w:val="none" w:sz="0" w:space="0" w:color="auto"/>
      </w:divBdr>
    </w:div>
    <w:div w:id="676467832">
      <w:bodyDiv w:val="1"/>
      <w:marLeft w:val="0"/>
      <w:marRight w:val="0"/>
      <w:marTop w:val="0"/>
      <w:marBottom w:val="0"/>
      <w:divBdr>
        <w:top w:val="none" w:sz="0" w:space="0" w:color="auto"/>
        <w:left w:val="none" w:sz="0" w:space="0" w:color="auto"/>
        <w:bottom w:val="none" w:sz="0" w:space="0" w:color="auto"/>
        <w:right w:val="none" w:sz="0" w:space="0" w:color="auto"/>
      </w:divBdr>
    </w:div>
    <w:div w:id="692808527">
      <w:bodyDiv w:val="1"/>
      <w:marLeft w:val="0"/>
      <w:marRight w:val="0"/>
      <w:marTop w:val="0"/>
      <w:marBottom w:val="0"/>
      <w:divBdr>
        <w:top w:val="none" w:sz="0" w:space="0" w:color="auto"/>
        <w:left w:val="none" w:sz="0" w:space="0" w:color="auto"/>
        <w:bottom w:val="none" w:sz="0" w:space="0" w:color="auto"/>
        <w:right w:val="none" w:sz="0" w:space="0" w:color="auto"/>
      </w:divBdr>
    </w:div>
    <w:div w:id="703598437">
      <w:bodyDiv w:val="1"/>
      <w:marLeft w:val="0"/>
      <w:marRight w:val="0"/>
      <w:marTop w:val="0"/>
      <w:marBottom w:val="0"/>
      <w:divBdr>
        <w:top w:val="none" w:sz="0" w:space="0" w:color="auto"/>
        <w:left w:val="none" w:sz="0" w:space="0" w:color="auto"/>
        <w:bottom w:val="none" w:sz="0" w:space="0" w:color="auto"/>
        <w:right w:val="none" w:sz="0" w:space="0" w:color="auto"/>
      </w:divBdr>
    </w:div>
    <w:div w:id="704719021">
      <w:bodyDiv w:val="1"/>
      <w:marLeft w:val="0"/>
      <w:marRight w:val="0"/>
      <w:marTop w:val="0"/>
      <w:marBottom w:val="0"/>
      <w:divBdr>
        <w:top w:val="none" w:sz="0" w:space="0" w:color="auto"/>
        <w:left w:val="none" w:sz="0" w:space="0" w:color="auto"/>
        <w:bottom w:val="none" w:sz="0" w:space="0" w:color="auto"/>
        <w:right w:val="none" w:sz="0" w:space="0" w:color="auto"/>
      </w:divBdr>
      <w:divsChild>
        <w:div w:id="111831231">
          <w:marLeft w:val="274"/>
          <w:marRight w:val="0"/>
          <w:marTop w:val="0"/>
          <w:marBottom w:val="0"/>
          <w:divBdr>
            <w:top w:val="none" w:sz="0" w:space="0" w:color="auto"/>
            <w:left w:val="none" w:sz="0" w:space="0" w:color="auto"/>
            <w:bottom w:val="none" w:sz="0" w:space="0" w:color="auto"/>
            <w:right w:val="none" w:sz="0" w:space="0" w:color="auto"/>
          </w:divBdr>
        </w:div>
        <w:div w:id="181867429">
          <w:marLeft w:val="274"/>
          <w:marRight w:val="0"/>
          <w:marTop w:val="0"/>
          <w:marBottom w:val="0"/>
          <w:divBdr>
            <w:top w:val="none" w:sz="0" w:space="0" w:color="auto"/>
            <w:left w:val="none" w:sz="0" w:space="0" w:color="auto"/>
            <w:bottom w:val="none" w:sz="0" w:space="0" w:color="auto"/>
            <w:right w:val="none" w:sz="0" w:space="0" w:color="auto"/>
          </w:divBdr>
        </w:div>
        <w:div w:id="250893747">
          <w:marLeft w:val="274"/>
          <w:marRight w:val="0"/>
          <w:marTop w:val="0"/>
          <w:marBottom w:val="0"/>
          <w:divBdr>
            <w:top w:val="none" w:sz="0" w:space="0" w:color="auto"/>
            <w:left w:val="none" w:sz="0" w:space="0" w:color="auto"/>
            <w:bottom w:val="none" w:sz="0" w:space="0" w:color="auto"/>
            <w:right w:val="none" w:sz="0" w:space="0" w:color="auto"/>
          </w:divBdr>
        </w:div>
        <w:div w:id="303000759">
          <w:marLeft w:val="274"/>
          <w:marRight w:val="0"/>
          <w:marTop w:val="0"/>
          <w:marBottom w:val="0"/>
          <w:divBdr>
            <w:top w:val="none" w:sz="0" w:space="0" w:color="auto"/>
            <w:left w:val="none" w:sz="0" w:space="0" w:color="auto"/>
            <w:bottom w:val="none" w:sz="0" w:space="0" w:color="auto"/>
            <w:right w:val="none" w:sz="0" w:space="0" w:color="auto"/>
          </w:divBdr>
        </w:div>
        <w:div w:id="692653294">
          <w:marLeft w:val="274"/>
          <w:marRight w:val="0"/>
          <w:marTop w:val="0"/>
          <w:marBottom w:val="0"/>
          <w:divBdr>
            <w:top w:val="none" w:sz="0" w:space="0" w:color="auto"/>
            <w:left w:val="none" w:sz="0" w:space="0" w:color="auto"/>
            <w:bottom w:val="none" w:sz="0" w:space="0" w:color="auto"/>
            <w:right w:val="none" w:sz="0" w:space="0" w:color="auto"/>
          </w:divBdr>
        </w:div>
        <w:div w:id="698624340">
          <w:marLeft w:val="274"/>
          <w:marRight w:val="0"/>
          <w:marTop w:val="0"/>
          <w:marBottom w:val="0"/>
          <w:divBdr>
            <w:top w:val="none" w:sz="0" w:space="0" w:color="auto"/>
            <w:left w:val="none" w:sz="0" w:space="0" w:color="auto"/>
            <w:bottom w:val="none" w:sz="0" w:space="0" w:color="auto"/>
            <w:right w:val="none" w:sz="0" w:space="0" w:color="auto"/>
          </w:divBdr>
        </w:div>
        <w:div w:id="750277915">
          <w:marLeft w:val="274"/>
          <w:marRight w:val="0"/>
          <w:marTop w:val="0"/>
          <w:marBottom w:val="0"/>
          <w:divBdr>
            <w:top w:val="none" w:sz="0" w:space="0" w:color="auto"/>
            <w:left w:val="none" w:sz="0" w:space="0" w:color="auto"/>
            <w:bottom w:val="none" w:sz="0" w:space="0" w:color="auto"/>
            <w:right w:val="none" w:sz="0" w:space="0" w:color="auto"/>
          </w:divBdr>
        </w:div>
        <w:div w:id="828864001">
          <w:marLeft w:val="274"/>
          <w:marRight w:val="0"/>
          <w:marTop w:val="0"/>
          <w:marBottom w:val="0"/>
          <w:divBdr>
            <w:top w:val="none" w:sz="0" w:space="0" w:color="auto"/>
            <w:left w:val="none" w:sz="0" w:space="0" w:color="auto"/>
            <w:bottom w:val="none" w:sz="0" w:space="0" w:color="auto"/>
            <w:right w:val="none" w:sz="0" w:space="0" w:color="auto"/>
          </w:divBdr>
        </w:div>
        <w:div w:id="850068516">
          <w:marLeft w:val="274"/>
          <w:marRight w:val="0"/>
          <w:marTop w:val="0"/>
          <w:marBottom w:val="0"/>
          <w:divBdr>
            <w:top w:val="none" w:sz="0" w:space="0" w:color="auto"/>
            <w:left w:val="none" w:sz="0" w:space="0" w:color="auto"/>
            <w:bottom w:val="none" w:sz="0" w:space="0" w:color="auto"/>
            <w:right w:val="none" w:sz="0" w:space="0" w:color="auto"/>
          </w:divBdr>
        </w:div>
        <w:div w:id="939221719">
          <w:marLeft w:val="274"/>
          <w:marRight w:val="0"/>
          <w:marTop w:val="0"/>
          <w:marBottom w:val="0"/>
          <w:divBdr>
            <w:top w:val="none" w:sz="0" w:space="0" w:color="auto"/>
            <w:left w:val="none" w:sz="0" w:space="0" w:color="auto"/>
            <w:bottom w:val="none" w:sz="0" w:space="0" w:color="auto"/>
            <w:right w:val="none" w:sz="0" w:space="0" w:color="auto"/>
          </w:divBdr>
        </w:div>
        <w:div w:id="971401134">
          <w:marLeft w:val="274"/>
          <w:marRight w:val="0"/>
          <w:marTop w:val="0"/>
          <w:marBottom w:val="0"/>
          <w:divBdr>
            <w:top w:val="none" w:sz="0" w:space="0" w:color="auto"/>
            <w:left w:val="none" w:sz="0" w:space="0" w:color="auto"/>
            <w:bottom w:val="none" w:sz="0" w:space="0" w:color="auto"/>
            <w:right w:val="none" w:sz="0" w:space="0" w:color="auto"/>
          </w:divBdr>
        </w:div>
        <w:div w:id="1068771488">
          <w:marLeft w:val="274"/>
          <w:marRight w:val="0"/>
          <w:marTop w:val="0"/>
          <w:marBottom w:val="0"/>
          <w:divBdr>
            <w:top w:val="none" w:sz="0" w:space="0" w:color="auto"/>
            <w:left w:val="none" w:sz="0" w:space="0" w:color="auto"/>
            <w:bottom w:val="none" w:sz="0" w:space="0" w:color="auto"/>
            <w:right w:val="none" w:sz="0" w:space="0" w:color="auto"/>
          </w:divBdr>
        </w:div>
        <w:div w:id="1136097110">
          <w:marLeft w:val="274"/>
          <w:marRight w:val="0"/>
          <w:marTop w:val="0"/>
          <w:marBottom w:val="0"/>
          <w:divBdr>
            <w:top w:val="none" w:sz="0" w:space="0" w:color="auto"/>
            <w:left w:val="none" w:sz="0" w:space="0" w:color="auto"/>
            <w:bottom w:val="none" w:sz="0" w:space="0" w:color="auto"/>
            <w:right w:val="none" w:sz="0" w:space="0" w:color="auto"/>
          </w:divBdr>
        </w:div>
        <w:div w:id="1139107383">
          <w:marLeft w:val="274"/>
          <w:marRight w:val="0"/>
          <w:marTop w:val="0"/>
          <w:marBottom w:val="0"/>
          <w:divBdr>
            <w:top w:val="none" w:sz="0" w:space="0" w:color="auto"/>
            <w:left w:val="none" w:sz="0" w:space="0" w:color="auto"/>
            <w:bottom w:val="none" w:sz="0" w:space="0" w:color="auto"/>
            <w:right w:val="none" w:sz="0" w:space="0" w:color="auto"/>
          </w:divBdr>
        </w:div>
        <w:div w:id="1156069444">
          <w:marLeft w:val="274"/>
          <w:marRight w:val="0"/>
          <w:marTop w:val="0"/>
          <w:marBottom w:val="0"/>
          <w:divBdr>
            <w:top w:val="none" w:sz="0" w:space="0" w:color="auto"/>
            <w:left w:val="none" w:sz="0" w:space="0" w:color="auto"/>
            <w:bottom w:val="none" w:sz="0" w:space="0" w:color="auto"/>
            <w:right w:val="none" w:sz="0" w:space="0" w:color="auto"/>
          </w:divBdr>
        </w:div>
        <w:div w:id="1198810220">
          <w:marLeft w:val="274"/>
          <w:marRight w:val="0"/>
          <w:marTop w:val="0"/>
          <w:marBottom w:val="0"/>
          <w:divBdr>
            <w:top w:val="none" w:sz="0" w:space="0" w:color="auto"/>
            <w:left w:val="none" w:sz="0" w:space="0" w:color="auto"/>
            <w:bottom w:val="none" w:sz="0" w:space="0" w:color="auto"/>
            <w:right w:val="none" w:sz="0" w:space="0" w:color="auto"/>
          </w:divBdr>
        </w:div>
        <w:div w:id="1206674992">
          <w:marLeft w:val="274"/>
          <w:marRight w:val="0"/>
          <w:marTop w:val="0"/>
          <w:marBottom w:val="0"/>
          <w:divBdr>
            <w:top w:val="none" w:sz="0" w:space="0" w:color="auto"/>
            <w:left w:val="none" w:sz="0" w:space="0" w:color="auto"/>
            <w:bottom w:val="none" w:sz="0" w:space="0" w:color="auto"/>
            <w:right w:val="none" w:sz="0" w:space="0" w:color="auto"/>
          </w:divBdr>
        </w:div>
        <w:div w:id="1512913518">
          <w:marLeft w:val="274"/>
          <w:marRight w:val="0"/>
          <w:marTop w:val="0"/>
          <w:marBottom w:val="0"/>
          <w:divBdr>
            <w:top w:val="none" w:sz="0" w:space="0" w:color="auto"/>
            <w:left w:val="none" w:sz="0" w:space="0" w:color="auto"/>
            <w:bottom w:val="none" w:sz="0" w:space="0" w:color="auto"/>
            <w:right w:val="none" w:sz="0" w:space="0" w:color="auto"/>
          </w:divBdr>
        </w:div>
        <w:div w:id="1574505417">
          <w:marLeft w:val="274"/>
          <w:marRight w:val="0"/>
          <w:marTop w:val="0"/>
          <w:marBottom w:val="0"/>
          <w:divBdr>
            <w:top w:val="none" w:sz="0" w:space="0" w:color="auto"/>
            <w:left w:val="none" w:sz="0" w:space="0" w:color="auto"/>
            <w:bottom w:val="none" w:sz="0" w:space="0" w:color="auto"/>
            <w:right w:val="none" w:sz="0" w:space="0" w:color="auto"/>
          </w:divBdr>
        </w:div>
        <w:div w:id="1663702501">
          <w:marLeft w:val="274"/>
          <w:marRight w:val="0"/>
          <w:marTop w:val="0"/>
          <w:marBottom w:val="0"/>
          <w:divBdr>
            <w:top w:val="none" w:sz="0" w:space="0" w:color="auto"/>
            <w:left w:val="none" w:sz="0" w:space="0" w:color="auto"/>
            <w:bottom w:val="none" w:sz="0" w:space="0" w:color="auto"/>
            <w:right w:val="none" w:sz="0" w:space="0" w:color="auto"/>
          </w:divBdr>
        </w:div>
        <w:div w:id="1720938837">
          <w:marLeft w:val="274"/>
          <w:marRight w:val="0"/>
          <w:marTop w:val="0"/>
          <w:marBottom w:val="0"/>
          <w:divBdr>
            <w:top w:val="none" w:sz="0" w:space="0" w:color="auto"/>
            <w:left w:val="none" w:sz="0" w:space="0" w:color="auto"/>
            <w:bottom w:val="none" w:sz="0" w:space="0" w:color="auto"/>
            <w:right w:val="none" w:sz="0" w:space="0" w:color="auto"/>
          </w:divBdr>
        </w:div>
      </w:divsChild>
    </w:div>
    <w:div w:id="707026577">
      <w:bodyDiv w:val="1"/>
      <w:marLeft w:val="0"/>
      <w:marRight w:val="0"/>
      <w:marTop w:val="0"/>
      <w:marBottom w:val="0"/>
      <w:divBdr>
        <w:top w:val="none" w:sz="0" w:space="0" w:color="auto"/>
        <w:left w:val="none" w:sz="0" w:space="0" w:color="auto"/>
        <w:bottom w:val="none" w:sz="0" w:space="0" w:color="auto"/>
        <w:right w:val="none" w:sz="0" w:space="0" w:color="auto"/>
      </w:divBdr>
    </w:div>
    <w:div w:id="710882253">
      <w:bodyDiv w:val="1"/>
      <w:marLeft w:val="0"/>
      <w:marRight w:val="0"/>
      <w:marTop w:val="0"/>
      <w:marBottom w:val="0"/>
      <w:divBdr>
        <w:top w:val="none" w:sz="0" w:space="0" w:color="auto"/>
        <w:left w:val="none" w:sz="0" w:space="0" w:color="auto"/>
        <w:bottom w:val="none" w:sz="0" w:space="0" w:color="auto"/>
        <w:right w:val="none" w:sz="0" w:space="0" w:color="auto"/>
      </w:divBdr>
    </w:div>
    <w:div w:id="723797829">
      <w:bodyDiv w:val="1"/>
      <w:marLeft w:val="0"/>
      <w:marRight w:val="0"/>
      <w:marTop w:val="0"/>
      <w:marBottom w:val="0"/>
      <w:divBdr>
        <w:top w:val="none" w:sz="0" w:space="0" w:color="auto"/>
        <w:left w:val="none" w:sz="0" w:space="0" w:color="auto"/>
        <w:bottom w:val="none" w:sz="0" w:space="0" w:color="auto"/>
        <w:right w:val="none" w:sz="0" w:space="0" w:color="auto"/>
      </w:divBdr>
      <w:divsChild>
        <w:div w:id="89589825">
          <w:marLeft w:val="0"/>
          <w:marRight w:val="0"/>
          <w:marTop w:val="0"/>
          <w:marBottom w:val="0"/>
          <w:divBdr>
            <w:top w:val="none" w:sz="0" w:space="0" w:color="auto"/>
            <w:left w:val="none" w:sz="0" w:space="0" w:color="auto"/>
            <w:bottom w:val="none" w:sz="0" w:space="0" w:color="auto"/>
            <w:right w:val="none" w:sz="0" w:space="0" w:color="auto"/>
          </w:divBdr>
        </w:div>
        <w:div w:id="123696030">
          <w:marLeft w:val="0"/>
          <w:marRight w:val="0"/>
          <w:marTop w:val="0"/>
          <w:marBottom w:val="0"/>
          <w:divBdr>
            <w:top w:val="none" w:sz="0" w:space="0" w:color="auto"/>
            <w:left w:val="none" w:sz="0" w:space="0" w:color="auto"/>
            <w:bottom w:val="none" w:sz="0" w:space="0" w:color="auto"/>
            <w:right w:val="none" w:sz="0" w:space="0" w:color="auto"/>
          </w:divBdr>
        </w:div>
        <w:div w:id="571232465">
          <w:marLeft w:val="0"/>
          <w:marRight w:val="0"/>
          <w:marTop w:val="0"/>
          <w:marBottom w:val="0"/>
          <w:divBdr>
            <w:top w:val="none" w:sz="0" w:space="0" w:color="auto"/>
            <w:left w:val="none" w:sz="0" w:space="0" w:color="auto"/>
            <w:bottom w:val="none" w:sz="0" w:space="0" w:color="auto"/>
            <w:right w:val="none" w:sz="0" w:space="0" w:color="auto"/>
          </w:divBdr>
        </w:div>
      </w:divsChild>
    </w:div>
    <w:div w:id="728727064">
      <w:bodyDiv w:val="1"/>
      <w:marLeft w:val="0"/>
      <w:marRight w:val="0"/>
      <w:marTop w:val="0"/>
      <w:marBottom w:val="0"/>
      <w:divBdr>
        <w:top w:val="none" w:sz="0" w:space="0" w:color="auto"/>
        <w:left w:val="none" w:sz="0" w:space="0" w:color="auto"/>
        <w:bottom w:val="none" w:sz="0" w:space="0" w:color="auto"/>
        <w:right w:val="none" w:sz="0" w:space="0" w:color="auto"/>
      </w:divBdr>
    </w:div>
    <w:div w:id="751242176">
      <w:bodyDiv w:val="1"/>
      <w:marLeft w:val="0"/>
      <w:marRight w:val="0"/>
      <w:marTop w:val="0"/>
      <w:marBottom w:val="0"/>
      <w:divBdr>
        <w:top w:val="none" w:sz="0" w:space="0" w:color="auto"/>
        <w:left w:val="none" w:sz="0" w:space="0" w:color="auto"/>
        <w:bottom w:val="none" w:sz="0" w:space="0" w:color="auto"/>
        <w:right w:val="none" w:sz="0" w:space="0" w:color="auto"/>
      </w:divBdr>
    </w:div>
    <w:div w:id="762798313">
      <w:bodyDiv w:val="1"/>
      <w:marLeft w:val="0"/>
      <w:marRight w:val="0"/>
      <w:marTop w:val="0"/>
      <w:marBottom w:val="0"/>
      <w:divBdr>
        <w:top w:val="none" w:sz="0" w:space="0" w:color="auto"/>
        <w:left w:val="none" w:sz="0" w:space="0" w:color="auto"/>
        <w:bottom w:val="none" w:sz="0" w:space="0" w:color="auto"/>
        <w:right w:val="none" w:sz="0" w:space="0" w:color="auto"/>
      </w:divBdr>
    </w:div>
    <w:div w:id="774449489">
      <w:bodyDiv w:val="1"/>
      <w:marLeft w:val="0"/>
      <w:marRight w:val="0"/>
      <w:marTop w:val="0"/>
      <w:marBottom w:val="0"/>
      <w:divBdr>
        <w:top w:val="none" w:sz="0" w:space="0" w:color="auto"/>
        <w:left w:val="none" w:sz="0" w:space="0" w:color="auto"/>
        <w:bottom w:val="none" w:sz="0" w:space="0" w:color="auto"/>
        <w:right w:val="none" w:sz="0" w:space="0" w:color="auto"/>
      </w:divBdr>
    </w:div>
    <w:div w:id="775254881">
      <w:bodyDiv w:val="1"/>
      <w:marLeft w:val="0"/>
      <w:marRight w:val="0"/>
      <w:marTop w:val="0"/>
      <w:marBottom w:val="0"/>
      <w:divBdr>
        <w:top w:val="none" w:sz="0" w:space="0" w:color="auto"/>
        <w:left w:val="none" w:sz="0" w:space="0" w:color="auto"/>
        <w:bottom w:val="none" w:sz="0" w:space="0" w:color="auto"/>
        <w:right w:val="none" w:sz="0" w:space="0" w:color="auto"/>
      </w:divBdr>
    </w:div>
    <w:div w:id="778525822">
      <w:bodyDiv w:val="1"/>
      <w:marLeft w:val="0"/>
      <w:marRight w:val="0"/>
      <w:marTop w:val="0"/>
      <w:marBottom w:val="0"/>
      <w:divBdr>
        <w:top w:val="none" w:sz="0" w:space="0" w:color="auto"/>
        <w:left w:val="none" w:sz="0" w:space="0" w:color="auto"/>
        <w:bottom w:val="none" w:sz="0" w:space="0" w:color="auto"/>
        <w:right w:val="none" w:sz="0" w:space="0" w:color="auto"/>
      </w:divBdr>
    </w:div>
    <w:div w:id="782461606">
      <w:bodyDiv w:val="1"/>
      <w:marLeft w:val="0"/>
      <w:marRight w:val="0"/>
      <w:marTop w:val="0"/>
      <w:marBottom w:val="0"/>
      <w:divBdr>
        <w:top w:val="none" w:sz="0" w:space="0" w:color="auto"/>
        <w:left w:val="none" w:sz="0" w:space="0" w:color="auto"/>
        <w:bottom w:val="none" w:sz="0" w:space="0" w:color="auto"/>
        <w:right w:val="none" w:sz="0" w:space="0" w:color="auto"/>
      </w:divBdr>
    </w:div>
    <w:div w:id="787159665">
      <w:bodyDiv w:val="1"/>
      <w:marLeft w:val="0"/>
      <w:marRight w:val="0"/>
      <w:marTop w:val="0"/>
      <w:marBottom w:val="0"/>
      <w:divBdr>
        <w:top w:val="none" w:sz="0" w:space="0" w:color="auto"/>
        <w:left w:val="none" w:sz="0" w:space="0" w:color="auto"/>
        <w:bottom w:val="none" w:sz="0" w:space="0" w:color="auto"/>
        <w:right w:val="none" w:sz="0" w:space="0" w:color="auto"/>
      </w:divBdr>
    </w:div>
    <w:div w:id="789906009">
      <w:bodyDiv w:val="1"/>
      <w:marLeft w:val="0"/>
      <w:marRight w:val="0"/>
      <w:marTop w:val="0"/>
      <w:marBottom w:val="0"/>
      <w:divBdr>
        <w:top w:val="none" w:sz="0" w:space="0" w:color="auto"/>
        <w:left w:val="none" w:sz="0" w:space="0" w:color="auto"/>
        <w:bottom w:val="none" w:sz="0" w:space="0" w:color="auto"/>
        <w:right w:val="none" w:sz="0" w:space="0" w:color="auto"/>
      </w:divBdr>
    </w:div>
    <w:div w:id="797071076">
      <w:bodyDiv w:val="1"/>
      <w:marLeft w:val="0"/>
      <w:marRight w:val="0"/>
      <w:marTop w:val="0"/>
      <w:marBottom w:val="0"/>
      <w:divBdr>
        <w:top w:val="none" w:sz="0" w:space="0" w:color="auto"/>
        <w:left w:val="none" w:sz="0" w:space="0" w:color="auto"/>
        <w:bottom w:val="none" w:sz="0" w:space="0" w:color="auto"/>
        <w:right w:val="none" w:sz="0" w:space="0" w:color="auto"/>
      </w:divBdr>
    </w:div>
    <w:div w:id="806901745">
      <w:bodyDiv w:val="1"/>
      <w:marLeft w:val="0"/>
      <w:marRight w:val="0"/>
      <w:marTop w:val="0"/>
      <w:marBottom w:val="0"/>
      <w:divBdr>
        <w:top w:val="none" w:sz="0" w:space="0" w:color="auto"/>
        <w:left w:val="none" w:sz="0" w:space="0" w:color="auto"/>
        <w:bottom w:val="none" w:sz="0" w:space="0" w:color="auto"/>
        <w:right w:val="none" w:sz="0" w:space="0" w:color="auto"/>
      </w:divBdr>
      <w:divsChild>
        <w:div w:id="188109070">
          <w:marLeft w:val="0"/>
          <w:marRight w:val="0"/>
          <w:marTop w:val="0"/>
          <w:marBottom w:val="0"/>
          <w:divBdr>
            <w:top w:val="none" w:sz="0" w:space="0" w:color="auto"/>
            <w:left w:val="none" w:sz="0" w:space="0" w:color="auto"/>
            <w:bottom w:val="none" w:sz="0" w:space="0" w:color="auto"/>
            <w:right w:val="none" w:sz="0" w:space="0" w:color="auto"/>
          </w:divBdr>
        </w:div>
        <w:div w:id="259216749">
          <w:marLeft w:val="0"/>
          <w:marRight w:val="0"/>
          <w:marTop w:val="0"/>
          <w:marBottom w:val="0"/>
          <w:divBdr>
            <w:top w:val="none" w:sz="0" w:space="0" w:color="auto"/>
            <w:left w:val="none" w:sz="0" w:space="0" w:color="auto"/>
            <w:bottom w:val="none" w:sz="0" w:space="0" w:color="auto"/>
            <w:right w:val="none" w:sz="0" w:space="0" w:color="auto"/>
          </w:divBdr>
        </w:div>
        <w:div w:id="396128845">
          <w:marLeft w:val="0"/>
          <w:marRight w:val="0"/>
          <w:marTop w:val="0"/>
          <w:marBottom w:val="0"/>
          <w:divBdr>
            <w:top w:val="none" w:sz="0" w:space="0" w:color="auto"/>
            <w:left w:val="none" w:sz="0" w:space="0" w:color="auto"/>
            <w:bottom w:val="none" w:sz="0" w:space="0" w:color="auto"/>
            <w:right w:val="none" w:sz="0" w:space="0" w:color="auto"/>
          </w:divBdr>
        </w:div>
        <w:div w:id="650132965">
          <w:marLeft w:val="0"/>
          <w:marRight w:val="0"/>
          <w:marTop w:val="0"/>
          <w:marBottom w:val="0"/>
          <w:divBdr>
            <w:top w:val="none" w:sz="0" w:space="0" w:color="auto"/>
            <w:left w:val="none" w:sz="0" w:space="0" w:color="auto"/>
            <w:bottom w:val="none" w:sz="0" w:space="0" w:color="auto"/>
            <w:right w:val="none" w:sz="0" w:space="0" w:color="auto"/>
          </w:divBdr>
        </w:div>
        <w:div w:id="672876756">
          <w:marLeft w:val="0"/>
          <w:marRight w:val="0"/>
          <w:marTop w:val="0"/>
          <w:marBottom w:val="0"/>
          <w:divBdr>
            <w:top w:val="none" w:sz="0" w:space="0" w:color="auto"/>
            <w:left w:val="none" w:sz="0" w:space="0" w:color="auto"/>
            <w:bottom w:val="none" w:sz="0" w:space="0" w:color="auto"/>
            <w:right w:val="none" w:sz="0" w:space="0" w:color="auto"/>
          </w:divBdr>
        </w:div>
        <w:div w:id="806161648">
          <w:marLeft w:val="0"/>
          <w:marRight w:val="0"/>
          <w:marTop w:val="0"/>
          <w:marBottom w:val="0"/>
          <w:divBdr>
            <w:top w:val="none" w:sz="0" w:space="0" w:color="auto"/>
            <w:left w:val="none" w:sz="0" w:space="0" w:color="auto"/>
            <w:bottom w:val="none" w:sz="0" w:space="0" w:color="auto"/>
            <w:right w:val="none" w:sz="0" w:space="0" w:color="auto"/>
          </w:divBdr>
        </w:div>
        <w:div w:id="938755032">
          <w:marLeft w:val="0"/>
          <w:marRight w:val="0"/>
          <w:marTop w:val="0"/>
          <w:marBottom w:val="0"/>
          <w:divBdr>
            <w:top w:val="none" w:sz="0" w:space="0" w:color="auto"/>
            <w:left w:val="none" w:sz="0" w:space="0" w:color="auto"/>
            <w:bottom w:val="none" w:sz="0" w:space="0" w:color="auto"/>
            <w:right w:val="none" w:sz="0" w:space="0" w:color="auto"/>
          </w:divBdr>
        </w:div>
        <w:div w:id="1330332296">
          <w:marLeft w:val="0"/>
          <w:marRight w:val="0"/>
          <w:marTop w:val="0"/>
          <w:marBottom w:val="0"/>
          <w:divBdr>
            <w:top w:val="none" w:sz="0" w:space="0" w:color="auto"/>
            <w:left w:val="none" w:sz="0" w:space="0" w:color="auto"/>
            <w:bottom w:val="none" w:sz="0" w:space="0" w:color="auto"/>
            <w:right w:val="none" w:sz="0" w:space="0" w:color="auto"/>
          </w:divBdr>
        </w:div>
        <w:div w:id="1354267114">
          <w:marLeft w:val="0"/>
          <w:marRight w:val="0"/>
          <w:marTop w:val="0"/>
          <w:marBottom w:val="0"/>
          <w:divBdr>
            <w:top w:val="none" w:sz="0" w:space="0" w:color="auto"/>
            <w:left w:val="none" w:sz="0" w:space="0" w:color="auto"/>
            <w:bottom w:val="none" w:sz="0" w:space="0" w:color="auto"/>
            <w:right w:val="none" w:sz="0" w:space="0" w:color="auto"/>
          </w:divBdr>
        </w:div>
        <w:div w:id="1492798013">
          <w:marLeft w:val="0"/>
          <w:marRight w:val="0"/>
          <w:marTop w:val="0"/>
          <w:marBottom w:val="0"/>
          <w:divBdr>
            <w:top w:val="none" w:sz="0" w:space="0" w:color="auto"/>
            <w:left w:val="none" w:sz="0" w:space="0" w:color="auto"/>
            <w:bottom w:val="none" w:sz="0" w:space="0" w:color="auto"/>
            <w:right w:val="none" w:sz="0" w:space="0" w:color="auto"/>
          </w:divBdr>
        </w:div>
        <w:div w:id="1888639461">
          <w:marLeft w:val="0"/>
          <w:marRight w:val="0"/>
          <w:marTop w:val="0"/>
          <w:marBottom w:val="0"/>
          <w:divBdr>
            <w:top w:val="none" w:sz="0" w:space="0" w:color="auto"/>
            <w:left w:val="none" w:sz="0" w:space="0" w:color="auto"/>
            <w:bottom w:val="none" w:sz="0" w:space="0" w:color="auto"/>
            <w:right w:val="none" w:sz="0" w:space="0" w:color="auto"/>
          </w:divBdr>
        </w:div>
        <w:div w:id="2045444424">
          <w:marLeft w:val="0"/>
          <w:marRight w:val="0"/>
          <w:marTop w:val="0"/>
          <w:marBottom w:val="0"/>
          <w:divBdr>
            <w:top w:val="none" w:sz="0" w:space="0" w:color="auto"/>
            <w:left w:val="none" w:sz="0" w:space="0" w:color="auto"/>
            <w:bottom w:val="none" w:sz="0" w:space="0" w:color="auto"/>
            <w:right w:val="none" w:sz="0" w:space="0" w:color="auto"/>
          </w:divBdr>
        </w:div>
        <w:div w:id="2053574335">
          <w:marLeft w:val="0"/>
          <w:marRight w:val="0"/>
          <w:marTop w:val="0"/>
          <w:marBottom w:val="0"/>
          <w:divBdr>
            <w:top w:val="none" w:sz="0" w:space="0" w:color="auto"/>
            <w:left w:val="none" w:sz="0" w:space="0" w:color="auto"/>
            <w:bottom w:val="none" w:sz="0" w:space="0" w:color="auto"/>
            <w:right w:val="none" w:sz="0" w:space="0" w:color="auto"/>
          </w:divBdr>
        </w:div>
      </w:divsChild>
    </w:div>
    <w:div w:id="808597988">
      <w:bodyDiv w:val="1"/>
      <w:marLeft w:val="0"/>
      <w:marRight w:val="0"/>
      <w:marTop w:val="0"/>
      <w:marBottom w:val="0"/>
      <w:divBdr>
        <w:top w:val="none" w:sz="0" w:space="0" w:color="auto"/>
        <w:left w:val="none" w:sz="0" w:space="0" w:color="auto"/>
        <w:bottom w:val="none" w:sz="0" w:space="0" w:color="auto"/>
        <w:right w:val="none" w:sz="0" w:space="0" w:color="auto"/>
      </w:divBdr>
    </w:div>
    <w:div w:id="810287437">
      <w:bodyDiv w:val="1"/>
      <w:marLeft w:val="0"/>
      <w:marRight w:val="0"/>
      <w:marTop w:val="0"/>
      <w:marBottom w:val="0"/>
      <w:divBdr>
        <w:top w:val="none" w:sz="0" w:space="0" w:color="auto"/>
        <w:left w:val="none" w:sz="0" w:space="0" w:color="auto"/>
        <w:bottom w:val="none" w:sz="0" w:space="0" w:color="auto"/>
        <w:right w:val="none" w:sz="0" w:space="0" w:color="auto"/>
      </w:divBdr>
    </w:div>
    <w:div w:id="810826733">
      <w:bodyDiv w:val="1"/>
      <w:marLeft w:val="0"/>
      <w:marRight w:val="0"/>
      <w:marTop w:val="0"/>
      <w:marBottom w:val="0"/>
      <w:divBdr>
        <w:top w:val="none" w:sz="0" w:space="0" w:color="auto"/>
        <w:left w:val="none" w:sz="0" w:space="0" w:color="auto"/>
        <w:bottom w:val="none" w:sz="0" w:space="0" w:color="auto"/>
        <w:right w:val="none" w:sz="0" w:space="0" w:color="auto"/>
      </w:divBdr>
    </w:div>
    <w:div w:id="817841019">
      <w:bodyDiv w:val="1"/>
      <w:marLeft w:val="0"/>
      <w:marRight w:val="0"/>
      <w:marTop w:val="0"/>
      <w:marBottom w:val="0"/>
      <w:divBdr>
        <w:top w:val="none" w:sz="0" w:space="0" w:color="auto"/>
        <w:left w:val="none" w:sz="0" w:space="0" w:color="auto"/>
        <w:bottom w:val="none" w:sz="0" w:space="0" w:color="auto"/>
        <w:right w:val="none" w:sz="0" w:space="0" w:color="auto"/>
      </w:divBdr>
    </w:div>
    <w:div w:id="821118277">
      <w:bodyDiv w:val="1"/>
      <w:marLeft w:val="0"/>
      <w:marRight w:val="0"/>
      <w:marTop w:val="0"/>
      <w:marBottom w:val="0"/>
      <w:divBdr>
        <w:top w:val="none" w:sz="0" w:space="0" w:color="auto"/>
        <w:left w:val="none" w:sz="0" w:space="0" w:color="auto"/>
        <w:bottom w:val="none" w:sz="0" w:space="0" w:color="auto"/>
        <w:right w:val="none" w:sz="0" w:space="0" w:color="auto"/>
      </w:divBdr>
    </w:div>
    <w:div w:id="825515044">
      <w:bodyDiv w:val="1"/>
      <w:marLeft w:val="0"/>
      <w:marRight w:val="0"/>
      <w:marTop w:val="0"/>
      <w:marBottom w:val="0"/>
      <w:divBdr>
        <w:top w:val="none" w:sz="0" w:space="0" w:color="auto"/>
        <w:left w:val="none" w:sz="0" w:space="0" w:color="auto"/>
        <w:bottom w:val="none" w:sz="0" w:space="0" w:color="auto"/>
        <w:right w:val="none" w:sz="0" w:space="0" w:color="auto"/>
      </w:divBdr>
    </w:div>
    <w:div w:id="838161500">
      <w:bodyDiv w:val="1"/>
      <w:marLeft w:val="0"/>
      <w:marRight w:val="0"/>
      <w:marTop w:val="0"/>
      <w:marBottom w:val="0"/>
      <w:divBdr>
        <w:top w:val="none" w:sz="0" w:space="0" w:color="auto"/>
        <w:left w:val="none" w:sz="0" w:space="0" w:color="auto"/>
        <w:bottom w:val="none" w:sz="0" w:space="0" w:color="auto"/>
        <w:right w:val="none" w:sz="0" w:space="0" w:color="auto"/>
      </w:divBdr>
      <w:divsChild>
        <w:div w:id="83964209">
          <w:marLeft w:val="274"/>
          <w:marRight w:val="0"/>
          <w:marTop w:val="0"/>
          <w:marBottom w:val="0"/>
          <w:divBdr>
            <w:top w:val="none" w:sz="0" w:space="0" w:color="auto"/>
            <w:left w:val="none" w:sz="0" w:space="0" w:color="auto"/>
            <w:bottom w:val="none" w:sz="0" w:space="0" w:color="auto"/>
            <w:right w:val="none" w:sz="0" w:space="0" w:color="auto"/>
          </w:divBdr>
        </w:div>
        <w:div w:id="116797224">
          <w:marLeft w:val="274"/>
          <w:marRight w:val="0"/>
          <w:marTop w:val="0"/>
          <w:marBottom w:val="0"/>
          <w:divBdr>
            <w:top w:val="none" w:sz="0" w:space="0" w:color="auto"/>
            <w:left w:val="none" w:sz="0" w:space="0" w:color="auto"/>
            <w:bottom w:val="none" w:sz="0" w:space="0" w:color="auto"/>
            <w:right w:val="none" w:sz="0" w:space="0" w:color="auto"/>
          </w:divBdr>
        </w:div>
        <w:div w:id="121651201">
          <w:marLeft w:val="274"/>
          <w:marRight w:val="0"/>
          <w:marTop w:val="0"/>
          <w:marBottom w:val="0"/>
          <w:divBdr>
            <w:top w:val="none" w:sz="0" w:space="0" w:color="auto"/>
            <w:left w:val="none" w:sz="0" w:space="0" w:color="auto"/>
            <w:bottom w:val="none" w:sz="0" w:space="0" w:color="auto"/>
            <w:right w:val="none" w:sz="0" w:space="0" w:color="auto"/>
          </w:divBdr>
        </w:div>
        <w:div w:id="188760069">
          <w:marLeft w:val="274"/>
          <w:marRight w:val="0"/>
          <w:marTop w:val="0"/>
          <w:marBottom w:val="0"/>
          <w:divBdr>
            <w:top w:val="none" w:sz="0" w:space="0" w:color="auto"/>
            <w:left w:val="none" w:sz="0" w:space="0" w:color="auto"/>
            <w:bottom w:val="none" w:sz="0" w:space="0" w:color="auto"/>
            <w:right w:val="none" w:sz="0" w:space="0" w:color="auto"/>
          </w:divBdr>
        </w:div>
        <w:div w:id="257640149">
          <w:marLeft w:val="274"/>
          <w:marRight w:val="0"/>
          <w:marTop w:val="0"/>
          <w:marBottom w:val="0"/>
          <w:divBdr>
            <w:top w:val="none" w:sz="0" w:space="0" w:color="auto"/>
            <w:left w:val="none" w:sz="0" w:space="0" w:color="auto"/>
            <w:bottom w:val="none" w:sz="0" w:space="0" w:color="auto"/>
            <w:right w:val="none" w:sz="0" w:space="0" w:color="auto"/>
          </w:divBdr>
        </w:div>
        <w:div w:id="466506734">
          <w:marLeft w:val="274"/>
          <w:marRight w:val="0"/>
          <w:marTop w:val="0"/>
          <w:marBottom w:val="0"/>
          <w:divBdr>
            <w:top w:val="none" w:sz="0" w:space="0" w:color="auto"/>
            <w:left w:val="none" w:sz="0" w:space="0" w:color="auto"/>
            <w:bottom w:val="none" w:sz="0" w:space="0" w:color="auto"/>
            <w:right w:val="none" w:sz="0" w:space="0" w:color="auto"/>
          </w:divBdr>
        </w:div>
        <w:div w:id="519709382">
          <w:marLeft w:val="274"/>
          <w:marRight w:val="0"/>
          <w:marTop w:val="0"/>
          <w:marBottom w:val="0"/>
          <w:divBdr>
            <w:top w:val="none" w:sz="0" w:space="0" w:color="auto"/>
            <w:left w:val="none" w:sz="0" w:space="0" w:color="auto"/>
            <w:bottom w:val="none" w:sz="0" w:space="0" w:color="auto"/>
            <w:right w:val="none" w:sz="0" w:space="0" w:color="auto"/>
          </w:divBdr>
        </w:div>
        <w:div w:id="612981604">
          <w:marLeft w:val="274"/>
          <w:marRight w:val="0"/>
          <w:marTop w:val="0"/>
          <w:marBottom w:val="0"/>
          <w:divBdr>
            <w:top w:val="none" w:sz="0" w:space="0" w:color="auto"/>
            <w:left w:val="none" w:sz="0" w:space="0" w:color="auto"/>
            <w:bottom w:val="none" w:sz="0" w:space="0" w:color="auto"/>
            <w:right w:val="none" w:sz="0" w:space="0" w:color="auto"/>
          </w:divBdr>
        </w:div>
        <w:div w:id="658269977">
          <w:marLeft w:val="274"/>
          <w:marRight w:val="0"/>
          <w:marTop w:val="0"/>
          <w:marBottom w:val="0"/>
          <w:divBdr>
            <w:top w:val="none" w:sz="0" w:space="0" w:color="auto"/>
            <w:left w:val="none" w:sz="0" w:space="0" w:color="auto"/>
            <w:bottom w:val="none" w:sz="0" w:space="0" w:color="auto"/>
            <w:right w:val="none" w:sz="0" w:space="0" w:color="auto"/>
          </w:divBdr>
        </w:div>
        <w:div w:id="685405622">
          <w:marLeft w:val="274"/>
          <w:marRight w:val="0"/>
          <w:marTop w:val="0"/>
          <w:marBottom w:val="0"/>
          <w:divBdr>
            <w:top w:val="none" w:sz="0" w:space="0" w:color="auto"/>
            <w:left w:val="none" w:sz="0" w:space="0" w:color="auto"/>
            <w:bottom w:val="none" w:sz="0" w:space="0" w:color="auto"/>
            <w:right w:val="none" w:sz="0" w:space="0" w:color="auto"/>
          </w:divBdr>
        </w:div>
        <w:div w:id="771323624">
          <w:marLeft w:val="274"/>
          <w:marRight w:val="0"/>
          <w:marTop w:val="0"/>
          <w:marBottom w:val="0"/>
          <w:divBdr>
            <w:top w:val="none" w:sz="0" w:space="0" w:color="auto"/>
            <w:left w:val="none" w:sz="0" w:space="0" w:color="auto"/>
            <w:bottom w:val="none" w:sz="0" w:space="0" w:color="auto"/>
            <w:right w:val="none" w:sz="0" w:space="0" w:color="auto"/>
          </w:divBdr>
        </w:div>
        <w:div w:id="777797917">
          <w:marLeft w:val="274"/>
          <w:marRight w:val="0"/>
          <w:marTop w:val="0"/>
          <w:marBottom w:val="0"/>
          <w:divBdr>
            <w:top w:val="none" w:sz="0" w:space="0" w:color="auto"/>
            <w:left w:val="none" w:sz="0" w:space="0" w:color="auto"/>
            <w:bottom w:val="none" w:sz="0" w:space="0" w:color="auto"/>
            <w:right w:val="none" w:sz="0" w:space="0" w:color="auto"/>
          </w:divBdr>
        </w:div>
        <w:div w:id="1045715589">
          <w:marLeft w:val="274"/>
          <w:marRight w:val="0"/>
          <w:marTop w:val="0"/>
          <w:marBottom w:val="0"/>
          <w:divBdr>
            <w:top w:val="none" w:sz="0" w:space="0" w:color="auto"/>
            <w:left w:val="none" w:sz="0" w:space="0" w:color="auto"/>
            <w:bottom w:val="none" w:sz="0" w:space="0" w:color="auto"/>
            <w:right w:val="none" w:sz="0" w:space="0" w:color="auto"/>
          </w:divBdr>
        </w:div>
        <w:div w:id="1124614091">
          <w:marLeft w:val="274"/>
          <w:marRight w:val="0"/>
          <w:marTop w:val="0"/>
          <w:marBottom w:val="0"/>
          <w:divBdr>
            <w:top w:val="none" w:sz="0" w:space="0" w:color="auto"/>
            <w:left w:val="none" w:sz="0" w:space="0" w:color="auto"/>
            <w:bottom w:val="none" w:sz="0" w:space="0" w:color="auto"/>
            <w:right w:val="none" w:sz="0" w:space="0" w:color="auto"/>
          </w:divBdr>
        </w:div>
        <w:div w:id="1234700037">
          <w:marLeft w:val="274"/>
          <w:marRight w:val="0"/>
          <w:marTop w:val="0"/>
          <w:marBottom w:val="0"/>
          <w:divBdr>
            <w:top w:val="none" w:sz="0" w:space="0" w:color="auto"/>
            <w:left w:val="none" w:sz="0" w:space="0" w:color="auto"/>
            <w:bottom w:val="none" w:sz="0" w:space="0" w:color="auto"/>
            <w:right w:val="none" w:sz="0" w:space="0" w:color="auto"/>
          </w:divBdr>
        </w:div>
        <w:div w:id="1579705371">
          <w:marLeft w:val="274"/>
          <w:marRight w:val="0"/>
          <w:marTop w:val="0"/>
          <w:marBottom w:val="0"/>
          <w:divBdr>
            <w:top w:val="none" w:sz="0" w:space="0" w:color="auto"/>
            <w:left w:val="none" w:sz="0" w:space="0" w:color="auto"/>
            <w:bottom w:val="none" w:sz="0" w:space="0" w:color="auto"/>
            <w:right w:val="none" w:sz="0" w:space="0" w:color="auto"/>
          </w:divBdr>
        </w:div>
        <w:div w:id="1662002015">
          <w:marLeft w:val="274"/>
          <w:marRight w:val="0"/>
          <w:marTop w:val="0"/>
          <w:marBottom w:val="0"/>
          <w:divBdr>
            <w:top w:val="none" w:sz="0" w:space="0" w:color="auto"/>
            <w:left w:val="none" w:sz="0" w:space="0" w:color="auto"/>
            <w:bottom w:val="none" w:sz="0" w:space="0" w:color="auto"/>
            <w:right w:val="none" w:sz="0" w:space="0" w:color="auto"/>
          </w:divBdr>
        </w:div>
        <w:div w:id="1743408141">
          <w:marLeft w:val="274"/>
          <w:marRight w:val="0"/>
          <w:marTop w:val="0"/>
          <w:marBottom w:val="0"/>
          <w:divBdr>
            <w:top w:val="none" w:sz="0" w:space="0" w:color="auto"/>
            <w:left w:val="none" w:sz="0" w:space="0" w:color="auto"/>
            <w:bottom w:val="none" w:sz="0" w:space="0" w:color="auto"/>
            <w:right w:val="none" w:sz="0" w:space="0" w:color="auto"/>
          </w:divBdr>
        </w:div>
        <w:div w:id="1940332967">
          <w:marLeft w:val="274"/>
          <w:marRight w:val="0"/>
          <w:marTop w:val="0"/>
          <w:marBottom w:val="0"/>
          <w:divBdr>
            <w:top w:val="none" w:sz="0" w:space="0" w:color="auto"/>
            <w:left w:val="none" w:sz="0" w:space="0" w:color="auto"/>
            <w:bottom w:val="none" w:sz="0" w:space="0" w:color="auto"/>
            <w:right w:val="none" w:sz="0" w:space="0" w:color="auto"/>
          </w:divBdr>
        </w:div>
        <w:div w:id="2030182847">
          <w:marLeft w:val="274"/>
          <w:marRight w:val="0"/>
          <w:marTop w:val="0"/>
          <w:marBottom w:val="0"/>
          <w:divBdr>
            <w:top w:val="none" w:sz="0" w:space="0" w:color="auto"/>
            <w:left w:val="none" w:sz="0" w:space="0" w:color="auto"/>
            <w:bottom w:val="none" w:sz="0" w:space="0" w:color="auto"/>
            <w:right w:val="none" w:sz="0" w:space="0" w:color="auto"/>
          </w:divBdr>
        </w:div>
        <w:div w:id="2131313251">
          <w:marLeft w:val="274"/>
          <w:marRight w:val="0"/>
          <w:marTop w:val="0"/>
          <w:marBottom w:val="0"/>
          <w:divBdr>
            <w:top w:val="none" w:sz="0" w:space="0" w:color="auto"/>
            <w:left w:val="none" w:sz="0" w:space="0" w:color="auto"/>
            <w:bottom w:val="none" w:sz="0" w:space="0" w:color="auto"/>
            <w:right w:val="none" w:sz="0" w:space="0" w:color="auto"/>
          </w:divBdr>
        </w:div>
      </w:divsChild>
    </w:div>
    <w:div w:id="847867518">
      <w:bodyDiv w:val="1"/>
      <w:marLeft w:val="0"/>
      <w:marRight w:val="0"/>
      <w:marTop w:val="0"/>
      <w:marBottom w:val="0"/>
      <w:divBdr>
        <w:top w:val="none" w:sz="0" w:space="0" w:color="auto"/>
        <w:left w:val="none" w:sz="0" w:space="0" w:color="auto"/>
        <w:bottom w:val="none" w:sz="0" w:space="0" w:color="auto"/>
        <w:right w:val="none" w:sz="0" w:space="0" w:color="auto"/>
      </w:divBdr>
    </w:div>
    <w:div w:id="848058521">
      <w:bodyDiv w:val="1"/>
      <w:marLeft w:val="0"/>
      <w:marRight w:val="0"/>
      <w:marTop w:val="0"/>
      <w:marBottom w:val="0"/>
      <w:divBdr>
        <w:top w:val="none" w:sz="0" w:space="0" w:color="auto"/>
        <w:left w:val="none" w:sz="0" w:space="0" w:color="auto"/>
        <w:bottom w:val="none" w:sz="0" w:space="0" w:color="auto"/>
        <w:right w:val="none" w:sz="0" w:space="0" w:color="auto"/>
      </w:divBdr>
    </w:div>
    <w:div w:id="851726748">
      <w:bodyDiv w:val="1"/>
      <w:marLeft w:val="0"/>
      <w:marRight w:val="0"/>
      <w:marTop w:val="0"/>
      <w:marBottom w:val="0"/>
      <w:divBdr>
        <w:top w:val="none" w:sz="0" w:space="0" w:color="auto"/>
        <w:left w:val="none" w:sz="0" w:space="0" w:color="auto"/>
        <w:bottom w:val="none" w:sz="0" w:space="0" w:color="auto"/>
        <w:right w:val="none" w:sz="0" w:space="0" w:color="auto"/>
      </w:divBdr>
    </w:div>
    <w:div w:id="854927392">
      <w:bodyDiv w:val="1"/>
      <w:marLeft w:val="0"/>
      <w:marRight w:val="0"/>
      <w:marTop w:val="0"/>
      <w:marBottom w:val="0"/>
      <w:divBdr>
        <w:top w:val="none" w:sz="0" w:space="0" w:color="auto"/>
        <w:left w:val="none" w:sz="0" w:space="0" w:color="auto"/>
        <w:bottom w:val="none" w:sz="0" w:space="0" w:color="auto"/>
        <w:right w:val="none" w:sz="0" w:space="0" w:color="auto"/>
      </w:divBdr>
    </w:div>
    <w:div w:id="876550820">
      <w:bodyDiv w:val="1"/>
      <w:marLeft w:val="0"/>
      <w:marRight w:val="0"/>
      <w:marTop w:val="0"/>
      <w:marBottom w:val="0"/>
      <w:divBdr>
        <w:top w:val="none" w:sz="0" w:space="0" w:color="auto"/>
        <w:left w:val="none" w:sz="0" w:space="0" w:color="auto"/>
        <w:bottom w:val="none" w:sz="0" w:space="0" w:color="auto"/>
        <w:right w:val="none" w:sz="0" w:space="0" w:color="auto"/>
      </w:divBdr>
    </w:div>
    <w:div w:id="883635388">
      <w:bodyDiv w:val="1"/>
      <w:marLeft w:val="0"/>
      <w:marRight w:val="0"/>
      <w:marTop w:val="0"/>
      <w:marBottom w:val="0"/>
      <w:divBdr>
        <w:top w:val="none" w:sz="0" w:space="0" w:color="auto"/>
        <w:left w:val="none" w:sz="0" w:space="0" w:color="auto"/>
        <w:bottom w:val="none" w:sz="0" w:space="0" w:color="auto"/>
        <w:right w:val="none" w:sz="0" w:space="0" w:color="auto"/>
      </w:divBdr>
    </w:div>
    <w:div w:id="898831702">
      <w:bodyDiv w:val="1"/>
      <w:marLeft w:val="0"/>
      <w:marRight w:val="0"/>
      <w:marTop w:val="0"/>
      <w:marBottom w:val="0"/>
      <w:divBdr>
        <w:top w:val="none" w:sz="0" w:space="0" w:color="auto"/>
        <w:left w:val="none" w:sz="0" w:space="0" w:color="auto"/>
        <w:bottom w:val="none" w:sz="0" w:space="0" w:color="auto"/>
        <w:right w:val="none" w:sz="0" w:space="0" w:color="auto"/>
      </w:divBdr>
    </w:div>
    <w:div w:id="900866013">
      <w:bodyDiv w:val="1"/>
      <w:marLeft w:val="0"/>
      <w:marRight w:val="0"/>
      <w:marTop w:val="0"/>
      <w:marBottom w:val="0"/>
      <w:divBdr>
        <w:top w:val="none" w:sz="0" w:space="0" w:color="auto"/>
        <w:left w:val="none" w:sz="0" w:space="0" w:color="auto"/>
        <w:bottom w:val="none" w:sz="0" w:space="0" w:color="auto"/>
        <w:right w:val="none" w:sz="0" w:space="0" w:color="auto"/>
      </w:divBdr>
    </w:div>
    <w:div w:id="912160622">
      <w:bodyDiv w:val="1"/>
      <w:marLeft w:val="0"/>
      <w:marRight w:val="0"/>
      <w:marTop w:val="0"/>
      <w:marBottom w:val="0"/>
      <w:divBdr>
        <w:top w:val="none" w:sz="0" w:space="0" w:color="auto"/>
        <w:left w:val="none" w:sz="0" w:space="0" w:color="auto"/>
        <w:bottom w:val="none" w:sz="0" w:space="0" w:color="auto"/>
        <w:right w:val="none" w:sz="0" w:space="0" w:color="auto"/>
      </w:divBdr>
    </w:div>
    <w:div w:id="914163776">
      <w:bodyDiv w:val="1"/>
      <w:marLeft w:val="0"/>
      <w:marRight w:val="0"/>
      <w:marTop w:val="0"/>
      <w:marBottom w:val="0"/>
      <w:divBdr>
        <w:top w:val="none" w:sz="0" w:space="0" w:color="auto"/>
        <w:left w:val="none" w:sz="0" w:space="0" w:color="auto"/>
        <w:bottom w:val="none" w:sz="0" w:space="0" w:color="auto"/>
        <w:right w:val="none" w:sz="0" w:space="0" w:color="auto"/>
      </w:divBdr>
    </w:div>
    <w:div w:id="914513362">
      <w:bodyDiv w:val="1"/>
      <w:marLeft w:val="0"/>
      <w:marRight w:val="0"/>
      <w:marTop w:val="0"/>
      <w:marBottom w:val="0"/>
      <w:divBdr>
        <w:top w:val="none" w:sz="0" w:space="0" w:color="auto"/>
        <w:left w:val="none" w:sz="0" w:space="0" w:color="auto"/>
        <w:bottom w:val="none" w:sz="0" w:space="0" w:color="auto"/>
        <w:right w:val="none" w:sz="0" w:space="0" w:color="auto"/>
      </w:divBdr>
    </w:div>
    <w:div w:id="915474619">
      <w:bodyDiv w:val="1"/>
      <w:marLeft w:val="0"/>
      <w:marRight w:val="0"/>
      <w:marTop w:val="0"/>
      <w:marBottom w:val="0"/>
      <w:divBdr>
        <w:top w:val="none" w:sz="0" w:space="0" w:color="auto"/>
        <w:left w:val="none" w:sz="0" w:space="0" w:color="auto"/>
        <w:bottom w:val="none" w:sz="0" w:space="0" w:color="auto"/>
        <w:right w:val="none" w:sz="0" w:space="0" w:color="auto"/>
      </w:divBdr>
    </w:div>
    <w:div w:id="917978215">
      <w:bodyDiv w:val="1"/>
      <w:marLeft w:val="0"/>
      <w:marRight w:val="0"/>
      <w:marTop w:val="0"/>
      <w:marBottom w:val="0"/>
      <w:divBdr>
        <w:top w:val="none" w:sz="0" w:space="0" w:color="auto"/>
        <w:left w:val="none" w:sz="0" w:space="0" w:color="auto"/>
        <w:bottom w:val="none" w:sz="0" w:space="0" w:color="auto"/>
        <w:right w:val="none" w:sz="0" w:space="0" w:color="auto"/>
      </w:divBdr>
    </w:div>
    <w:div w:id="925960786">
      <w:bodyDiv w:val="1"/>
      <w:marLeft w:val="0"/>
      <w:marRight w:val="0"/>
      <w:marTop w:val="0"/>
      <w:marBottom w:val="0"/>
      <w:divBdr>
        <w:top w:val="none" w:sz="0" w:space="0" w:color="auto"/>
        <w:left w:val="none" w:sz="0" w:space="0" w:color="auto"/>
        <w:bottom w:val="none" w:sz="0" w:space="0" w:color="auto"/>
        <w:right w:val="none" w:sz="0" w:space="0" w:color="auto"/>
      </w:divBdr>
    </w:div>
    <w:div w:id="930435184">
      <w:bodyDiv w:val="1"/>
      <w:marLeft w:val="0"/>
      <w:marRight w:val="0"/>
      <w:marTop w:val="0"/>
      <w:marBottom w:val="0"/>
      <w:divBdr>
        <w:top w:val="none" w:sz="0" w:space="0" w:color="auto"/>
        <w:left w:val="none" w:sz="0" w:space="0" w:color="auto"/>
        <w:bottom w:val="none" w:sz="0" w:space="0" w:color="auto"/>
        <w:right w:val="none" w:sz="0" w:space="0" w:color="auto"/>
      </w:divBdr>
    </w:div>
    <w:div w:id="932857828">
      <w:bodyDiv w:val="1"/>
      <w:marLeft w:val="0"/>
      <w:marRight w:val="0"/>
      <w:marTop w:val="0"/>
      <w:marBottom w:val="0"/>
      <w:divBdr>
        <w:top w:val="none" w:sz="0" w:space="0" w:color="auto"/>
        <w:left w:val="none" w:sz="0" w:space="0" w:color="auto"/>
        <w:bottom w:val="none" w:sz="0" w:space="0" w:color="auto"/>
        <w:right w:val="none" w:sz="0" w:space="0" w:color="auto"/>
      </w:divBdr>
    </w:div>
    <w:div w:id="934702701">
      <w:bodyDiv w:val="1"/>
      <w:marLeft w:val="0"/>
      <w:marRight w:val="0"/>
      <w:marTop w:val="0"/>
      <w:marBottom w:val="0"/>
      <w:divBdr>
        <w:top w:val="none" w:sz="0" w:space="0" w:color="auto"/>
        <w:left w:val="none" w:sz="0" w:space="0" w:color="auto"/>
        <w:bottom w:val="none" w:sz="0" w:space="0" w:color="auto"/>
        <w:right w:val="none" w:sz="0" w:space="0" w:color="auto"/>
      </w:divBdr>
    </w:div>
    <w:div w:id="944581395">
      <w:bodyDiv w:val="1"/>
      <w:marLeft w:val="0"/>
      <w:marRight w:val="0"/>
      <w:marTop w:val="0"/>
      <w:marBottom w:val="0"/>
      <w:divBdr>
        <w:top w:val="none" w:sz="0" w:space="0" w:color="auto"/>
        <w:left w:val="none" w:sz="0" w:space="0" w:color="auto"/>
        <w:bottom w:val="none" w:sz="0" w:space="0" w:color="auto"/>
        <w:right w:val="none" w:sz="0" w:space="0" w:color="auto"/>
      </w:divBdr>
    </w:div>
    <w:div w:id="954557968">
      <w:bodyDiv w:val="1"/>
      <w:marLeft w:val="0"/>
      <w:marRight w:val="0"/>
      <w:marTop w:val="0"/>
      <w:marBottom w:val="0"/>
      <w:divBdr>
        <w:top w:val="none" w:sz="0" w:space="0" w:color="auto"/>
        <w:left w:val="none" w:sz="0" w:space="0" w:color="auto"/>
        <w:bottom w:val="none" w:sz="0" w:space="0" w:color="auto"/>
        <w:right w:val="none" w:sz="0" w:space="0" w:color="auto"/>
      </w:divBdr>
    </w:div>
    <w:div w:id="957370376">
      <w:bodyDiv w:val="1"/>
      <w:marLeft w:val="0"/>
      <w:marRight w:val="0"/>
      <w:marTop w:val="0"/>
      <w:marBottom w:val="0"/>
      <w:divBdr>
        <w:top w:val="none" w:sz="0" w:space="0" w:color="auto"/>
        <w:left w:val="none" w:sz="0" w:space="0" w:color="auto"/>
        <w:bottom w:val="none" w:sz="0" w:space="0" w:color="auto"/>
        <w:right w:val="none" w:sz="0" w:space="0" w:color="auto"/>
      </w:divBdr>
      <w:divsChild>
        <w:div w:id="74861450">
          <w:marLeft w:val="274"/>
          <w:marRight w:val="0"/>
          <w:marTop w:val="0"/>
          <w:marBottom w:val="0"/>
          <w:divBdr>
            <w:top w:val="none" w:sz="0" w:space="0" w:color="auto"/>
            <w:left w:val="none" w:sz="0" w:space="0" w:color="auto"/>
            <w:bottom w:val="none" w:sz="0" w:space="0" w:color="auto"/>
            <w:right w:val="none" w:sz="0" w:space="0" w:color="auto"/>
          </w:divBdr>
        </w:div>
        <w:div w:id="130289796">
          <w:marLeft w:val="274"/>
          <w:marRight w:val="0"/>
          <w:marTop w:val="0"/>
          <w:marBottom w:val="0"/>
          <w:divBdr>
            <w:top w:val="none" w:sz="0" w:space="0" w:color="auto"/>
            <w:left w:val="none" w:sz="0" w:space="0" w:color="auto"/>
            <w:bottom w:val="none" w:sz="0" w:space="0" w:color="auto"/>
            <w:right w:val="none" w:sz="0" w:space="0" w:color="auto"/>
          </w:divBdr>
        </w:div>
        <w:div w:id="179122303">
          <w:marLeft w:val="274"/>
          <w:marRight w:val="0"/>
          <w:marTop w:val="0"/>
          <w:marBottom w:val="0"/>
          <w:divBdr>
            <w:top w:val="none" w:sz="0" w:space="0" w:color="auto"/>
            <w:left w:val="none" w:sz="0" w:space="0" w:color="auto"/>
            <w:bottom w:val="none" w:sz="0" w:space="0" w:color="auto"/>
            <w:right w:val="none" w:sz="0" w:space="0" w:color="auto"/>
          </w:divBdr>
        </w:div>
        <w:div w:id="214852815">
          <w:marLeft w:val="274"/>
          <w:marRight w:val="0"/>
          <w:marTop w:val="0"/>
          <w:marBottom w:val="0"/>
          <w:divBdr>
            <w:top w:val="none" w:sz="0" w:space="0" w:color="auto"/>
            <w:left w:val="none" w:sz="0" w:space="0" w:color="auto"/>
            <w:bottom w:val="none" w:sz="0" w:space="0" w:color="auto"/>
            <w:right w:val="none" w:sz="0" w:space="0" w:color="auto"/>
          </w:divBdr>
        </w:div>
        <w:div w:id="314143233">
          <w:marLeft w:val="274"/>
          <w:marRight w:val="0"/>
          <w:marTop w:val="0"/>
          <w:marBottom w:val="0"/>
          <w:divBdr>
            <w:top w:val="none" w:sz="0" w:space="0" w:color="auto"/>
            <w:left w:val="none" w:sz="0" w:space="0" w:color="auto"/>
            <w:bottom w:val="none" w:sz="0" w:space="0" w:color="auto"/>
            <w:right w:val="none" w:sz="0" w:space="0" w:color="auto"/>
          </w:divBdr>
        </w:div>
        <w:div w:id="402526403">
          <w:marLeft w:val="274"/>
          <w:marRight w:val="0"/>
          <w:marTop w:val="0"/>
          <w:marBottom w:val="0"/>
          <w:divBdr>
            <w:top w:val="none" w:sz="0" w:space="0" w:color="auto"/>
            <w:left w:val="none" w:sz="0" w:space="0" w:color="auto"/>
            <w:bottom w:val="none" w:sz="0" w:space="0" w:color="auto"/>
            <w:right w:val="none" w:sz="0" w:space="0" w:color="auto"/>
          </w:divBdr>
        </w:div>
        <w:div w:id="443429013">
          <w:marLeft w:val="274"/>
          <w:marRight w:val="0"/>
          <w:marTop w:val="0"/>
          <w:marBottom w:val="0"/>
          <w:divBdr>
            <w:top w:val="none" w:sz="0" w:space="0" w:color="auto"/>
            <w:left w:val="none" w:sz="0" w:space="0" w:color="auto"/>
            <w:bottom w:val="none" w:sz="0" w:space="0" w:color="auto"/>
            <w:right w:val="none" w:sz="0" w:space="0" w:color="auto"/>
          </w:divBdr>
        </w:div>
        <w:div w:id="522473762">
          <w:marLeft w:val="274"/>
          <w:marRight w:val="0"/>
          <w:marTop w:val="0"/>
          <w:marBottom w:val="0"/>
          <w:divBdr>
            <w:top w:val="none" w:sz="0" w:space="0" w:color="auto"/>
            <w:left w:val="none" w:sz="0" w:space="0" w:color="auto"/>
            <w:bottom w:val="none" w:sz="0" w:space="0" w:color="auto"/>
            <w:right w:val="none" w:sz="0" w:space="0" w:color="auto"/>
          </w:divBdr>
        </w:div>
        <w:div w:id="569579064">
          <w:marLeft w:val="274"/>
          <w:marRight w:val="0"/>
          <w:marTop w:val="0"/>
          <w:marBottom w:val="0"/>
          <w:divBdr>
            <w:top w:val="none" w:sz="0" w:space="0" w:color="auto"/>
            <w:left w:val="none" w:sz="0" w:space="0" w:color="auto"/>
            <w:bottom w:val="none" w:sz="0" w:space="0" w:color="auto"/>
            <w:right w:val="none" w:sz="0" w:space="0" w:color="auto"/>
          </w:divBdr>
        </w:div>
        <w:div w:id="666709839">
          <w:marLeft w:val="274"/>
          <w:marRight w:val="0"/>
          <w:marTop w:val="0"/>
          <w:marBottom w:val="0"/>
          <w:divBdr>
            <w:top w:val="none" w:sz="0" w:space="0" w:color="auto"/>
            <w:left w:val="none" w:sz="0" w:space="0" w:color="auto"/>
            <w:bottom w:val="none" w:sz="0" w:space="0" w:color="auto"/>
            <w:right w:val="none" w:sz="0" w:space="0" w:color="auto"/>
          </w:divBdr>
        </w:div>
        <w:div w:id="824861002">
          <w:marLeft w:val="274"/>
          <w:marRight w:val="0"/>
          <w:marTop w:val="0"/>
          <w:marBottom w:val="0"/>
          <w:divBdr>
            <w:top w:val="none" w:sz="0" w:space="0" w:color="auto"/>
            <w:left w:val="none" w:sz="0" w:space="0" w:color="auto"/>
            <w:bottom w:val="none" w:sz="0" w:space="0" w:color="auto"/>
            <w:right w:val="none" w:sz="0" w:space="0" w:color="auto"/>
          </w:divBdr>
        </w:div>
        <w:div w:id="836651695">
          <w:marLeft w:val="274"/>
          <w:marRight w:val="0"/>
          <w:marTop w:val="0"/>
          <w:marBottom w:val="0"/>
          <w:divBdr>
            <w:top w:val="none" w:sz="0" w:space="0" w:color="auto"/>
            <w:left w:val="none" w:sz="0" w:space="0" w:color="auto"/>
            <w:bottom w:val="none" w:sz="0" w:space="0" w:color="auto"/>
            <w:right w:val="none" w:sz="0" w:space="0" w:color="auto"/>
          </w:divBdr>
        </w:div>
        <w:div w:id="858271874">
          <w:marLeft w:val="274"/>
          <w:marRight w:val="0"/>
          <w:marTop w:val="0"/>
          <w:marBottom w:val="0"/>
          <w:divBdr>
            <w:top w:val="none" w:sz="0" w:space="0" w:color="auto"/>
            <w:left w:val="none" w:sz="0" w:space="0" w:color="auto"/>
            <w:bottom w:val="none" w:sz="0" w:space="0" w:color="auto"/>
            <w:right w:val="none" w:sz="0" w:space="0" w:color="auto"/>
          </w:divBdr>
        </w:div>
        <w:div w:id="967130946">
          <w:marLeft w:val="274"/>
          <w:marRight w:val="0"/>
          <w:marTop w:val="0"/>
          <w:marBottom w:val="0"/>
          <w:divBdr>
            <w:top w:val="none" w:sz="0" w:space="0" w:color="auto"/>
            <w:left w:val="none" w:sz="0" w:space="0" w:color="auto"/>
            <w:bottom w:val="none" w:sz="0" w:space="0" w:color="auto"/>
            <w:right w:val="none" w:sz="0" w:space="0" w:color="auto"/>
          </w:divBdr>
        </w:div>
        <w:div w:id="997265268">
          <w:marLeft w:val="274"/>
          <w:marRight w:val="0"/>
          <w:marTop w:val="0"/>
          <w:marBottom w:val="0"/>
          <w:divBdr>
            <w:top w:val="none" w:sz="0" w:space="0" w:color="auto"/>
            <w:left w:val="none" w:sz="0" w:space="0" w:color="auto"/>
            <w:bottom w:val="none" w:sz="0" w:space="0" w:color="auto"/>
            <w:right w:val="none" w:sz="0" w:space="0" w:color="auto"/>
          </w:divBdr>
        </w:div>
        <w:div w:id="1199513577">
          <w:marLeft w:val="274"/>
          <w:marRight w:val="0"/>
          <w:marTop w:val="0"/>
          <w:marBottom w:val="0"/>
          <w:divBdr>
            <w:top w:val="none" w:sz="0" w:space="0" w:color="auto"/>
            <w:left w:val="none" w:sz="0" w:space="0" w:color="auto"/>
            <w:bottom w:val="none" w:sz="0" w:space="0" w:color="auto"/>
            <w:right w:val="none" w:sz="0" w:space="0" w:color="auto"/>
          </w:divBdr>
        </w:div>
        <w:div w:id="1232042664">
          <w:marLeft w:val="274"/>
          <w:marRight w:val="0"/>
          <w:marTop w:val="0"/>
          <w:marBottom w:val="0"/>
          <w:divBdr>
            <w:top w:val="none" w:sz="0" w:space="0" w:color="auto"/>
            <w:left w:val="none" w:sz="0" w:space="0" w:color="auto"/>
            <w:bottom w:val="none" w:sz="0" w:space="0" w:color="auto"/>
            <w:right w:val="none" w:sz="0" w:space="0" w:color="auto"/>
          </w:divBdr>
        </w:div>
        <w:div w:id="1616670848">
          <w:marLeft w:val="274"/>
          <w:marRight w:val="0"/>
          <w:marTop w:val="0"/>
          <w:marBottom w:val="0"/>
          <w:divBdr>
            <w:top w:val="none" w:sz="0" w:space="0" w:color="auto"/>
            <w:left w:val="none" w:sz="0" w:space="0" w:color="auto"/>
            <w:bottom w:val="none" w:sz="0" w:space="0" w:color="auto"/>
            <w:right w:val="none" w:sz="0" w:space="0" w:color="auto"/>
          </w:divBdr>
        </w:div>
        <w:div w:id="1884825917">
          <w:marLeft w:val="274"/>
          <w:marRight w:val="0"/>
          <w:marTop w:val="0"/>
          <w:marBottom w:val="0"/>
          <w:divBdr>
            <w:top w:val="none" w:sz="0" w:space="0" w:color="auto"/>
            <w:left w:val="none" w:sz="0" w:space="0" w:color="auto"/>
            <w:bottom w:val="none" w:sz="0" w:space="0" w:color="auto"/>
            <w:right w:val="none" w:sz="0" w:space="0" w:color="auto"/>
          </w:divBdr>
        </w:div>
        <w:div w:id="1950352851">
          <w:marLeft w:val="274"/>
          <w:marRight w:val="0"/>
          <w:marTop w:val="0"/>
          <w:marBottom w:val="0"/>
          <w:divBdr>
            <w:top w:val="none" w:sz="0" w:space="0" w:color="auto"/>
            <w:left w:val="none" w:sz="0" w:space="0" w:color="auto"/>
            <w:bottom w:val="none" w:sz="0" w:space="0" w:color="auto"/>
            <w:right w:val="none" w:sz="0" w:space="0" w:color="auto"/>
          </w:divBdr>
        </w:div>
        <w:div w:id="2054425155">
          <w:marLeft w:val="274"/>
          <w:marRight w:val="0"/>
          <w:marTop w:val="0"/>
          <w:marBottom w:val="0"/>
          <w:divBdr>
            <w:top w:val="none" w:sz="0" w:space="0" w:color="auto"/>
            <w:left w:val="none" w:sz="0" w:space="0" w:color="auto"/>
            <w:bottom w:val="none" w:sz="0" w:space="0" w:color="auto"/>
            <w:right w:val="none" w:sz="0" w:space="0" w:color="auto"/>
          </w:divBdr>
        </w:div>
      </w:divsChild>
    </w:div>
    <w:div w:id="961495564">
      <w:bodyDiv w:val="1"/>
      <w:marLeft w:val="0"/>
      <w:marRight w:val="0"/>
      <w:marTop w:val="0"/>
      <w:marBottom w:val="0"/>
      <w:divBdr>
        <w:top w:val="none" w:sz="0" w:space="0" w:color="auto"/>
        <w:left w:val="none" w:sz="0" w:space="0" w:color="auto"/>
        <w:bottom w:val="none" w:sz="0" w:space="0" w:color="auto"/>
        <w:right w:val="none" w:sz="0" w:space="0" w:color="auto"/>
      </w:divBdr>
    </w:div>
    <w:div w:id="967123957">
      <w:bodyDiv w:val="1"/>
      <w:marLeft w:val="0"/>
      <w:marRight w:val="0"/>
      <w:marTop w:val="0"/>
      <w:marBottom w:val="0"/>
      <w:divBdr>
        <w:top w:val="none" w:sz="0" w:space="0" w:color="auto"/>
        <w:left w:val="none" w:sz="0" w:space="0" w:color="auto"/>
        <w:bottom w:val="none" w:sz="0" w:space="0" w:color="auto"/>
        <w:right w:val="none" w:sz="0" w:space="0" w:color="auto"/>
      </w:divBdr>
    </w:div>
    <w:div w:id="979114737">
      <w:bodyDiv w:val="1"/>
      <w:marLeft w:val="0"/>
      <w:marRight w:val="0"/>
      <w:marTop w:val="0"/>
      <w:marBottom w:val="0"/>
      <w:divBdr>
        <w:top w:val="none" w:sz="0" w:space="0" w:color="auto"/>
        <w:left w:val="none" w:sz="0" w:space="0" w:color="auto"/>
        <w:bottom w:val="none" w:sz="0" w:space="0" w:color="auto"/>
        <w:right w:val="none" w:sz="0" w:space="0" w:color="auto"/>
      </w:divBdr>
    </w:div>
    <w:div w:id="984165533">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1007289799">
      <w:bodyDiv w:val="1"/>
      <w:marLeft w:val="0"/>
      <w:marRight w:val="0"/>
      <w:marTop w:val="0"/>
      <w:marBottom w:val="0"/>
      <w:divBdr>
        <w:top w:val="none" w:sz="0" w:space="0" w:color="auto"/>
        <w:left w:val="none" w:sz="0" w:space="0" w:color="auto"/>
        <w:bottom w:val="none" w:sz="0" w:space="0" w:color="auto"/>
        <w:right w:val="none" w:sz="0" w:space="0" w:color="auto"/>
      </w:divBdr>
    </w:div>
    <w:div w:id="1008363834">
      <w:bodyDiv w:val="1"/>
      <w:marLeft w:val="0"/>
      <w:marRight w:val="0"/>
      <w:marTop w:val="0"/>
      <w:marBottom w:val="0"/>
      <w:divBdr>
        <w:top w:val="none" w:sz="0" w:space="0" w:color="auto"/>
        <w:left w:val="none" w:sz="0" w:space="0" w:color="auto"/>
        <w:bottom w:val="none" w:sz="0" w:space="0" w:color="auto"/>
        <w:right w:val="none" w:sz="0" w:space="0" w:color="auto"/>
      </w:divBdr>
    </w:div>
    <w:div w:id="1009914160">
      <w:bodyDiv w:val="1"/>
      <w:marLeft w:val="0"/>
      <w:marRight w:val="0"/>
      <w:marTop w:val="0"/>
      <w:marBottom w:val="0"/>
      <w:divBdr>
        <w:top w:val="none" w:sz="0" w:space="0" w:color="auto"/>
        <w:left w:val="none" w:sz="0" w:space="0" w:color="auto"/>
        <w:bottom w:val="none" w:sz="0" w:space="0" w:color="auto"/>
        <w:right w:val="none" w:sz="0" w:space="0" w:color="auto"/>
      </w:divBdr>
      <w:divsChild>
        <w:div w:id="18361845">
          <w:marLeft w:val="0"/>
          <w:marRight w:val="0"/>
          <w:marTop w:val="0"/>
          <w:marBottom w:val="0"/>
          <w:divBdr>
            <w:top w:val="none" w:sz="0" w:space="0" w:color="auto"/>
            <w:left w:val="none" w:sz="0" w:space="0" w:color="auto"/>
            <w:bottom w:val="none" w:sz="0" w:space="0" w:color="auto"/>
            <w:right w:val="none" w:sz="0" w:space="0" w:color="auto"/>
          </w:divBdr>
        </w:div>
        <w:div w:id="112133661">
          <w:marLeft w:val="0"/>
          <w:marRight w:val="0"/>
          <w:marTop w:val="0"/>
          <w:marBottom w:val="0"/>
          <w:divBdr>
            <w:top w:val="none" w:sz="0" w:space="0" w:color="auto"/>
            <w:left w:val="none" w:sz="0" w:space="0" w:color="auto"/>
            <w:bottom w:val="none" w:sz="0" w:space="0" w:color="auto"/>
            <w:right w:val="none" w:sz="0" w:space="0" w:color="auto"/>
          </w:divBdr>
        </w:div>
        <w:div w:id="117914163">
          <w:marLeft w:val="0"/>
          <w:marRight w:val="0"/>
          <w:marTop w:val="0"/>
          <w:marBottom w:val="0"/>
          <w:divBdr>
            <w:top w:val="none" w:sz="0" w:space="0" w:color="auto"/>
            <w:left w:val="none" w:sz="0" w:space="0" w:color="auto"/>
            <w:bottom w:val="none" w:sz="0" w:space="0" w:color="auto"/>
            <w:right w:val="none" w:sz="0" w:space="0" w:color="auto"/>
          </w:divBdr>
        </w:div>
        <w:div w:id="373315932">
          <w:marLeft w:val="0"/>
          <w:marRight w:val="0"/>
          <w:marTop w:val="0"/>
          <w:marBottom w:val="0"/>
          <w:divBdr>
            <w:top w:val="none" w:sz="0" w:space="0" w:color="auto"/>
            <w:left w:val="none" w:sz="0" w:space="0" w:color="auto"/>
            <w:bottom w:val="none" w:sz="0" w:space="0" w:color="auto"/>
            <w:right w:val="none" w:sz="0" w:space="0" w:color="auto"/>
          </w:divBdr>
        </w:div>
        <w:div w:id="522019735">
          <w:marLeft w:val="0"/>
          <w:marRight w:val="0"/>
          <w:marTop w:val="0"/>
          <w:marBottom w:val="0"/>
          <w:divBdr>
            <w:top w:val="none" w:sz="0" w:space="0" w:color="auto"/>
            <w:left w:val="none" w:sz="0" w:space="0" w:color="auto"/>
            <w:bottom w:val="none" w:sz="0" w:space="0" w:color="auto"/>
            <w:right w:val="none" w:sz="0" w:space="0" w:color="auto"/>
          </w:divBdr>
        </w:div>
        <w:div w:id="563838594">
          <w:marLeft w:val="0"/>
          <w:marRight w:val="0"/>
          <w:marTop w:val="0"/>
          <w:marBottom w:val="0"/>
          <w:divBdr>
            <w:top w:val="none" w:sz="0" w:space="0" w:color="auto"/>
            <w:left w:val="none" w:sz="0" w:space="0" w:color="auto"/>
            <w:bottom w:val="none" w:sz="0" w:space="0" w:color="auto"/>
            <w:right w:val="none" w:sz="0" w:space="0" w:color="auto"/>
          </w:divBdr>
        </w:div>
        <w:div w:id="934510421">
          <w:marLeft w:val="0"/>
          <w:marRight w:val="0"/>
          <w:marTop w:val="0"/>
          <w:marBottom w:val="0"/>
          <w:divBdr>
            <w:top w:val="none" w:sz="0" w:space="0" w:color="auto"/>
            <w:left w:val="none" w:sz="0" w:space="0" w:color="auto"/>
            <w:bottom w:val="none" w:sz="0" w:space="0" w:color="auto"/>
            <w:right w:val="none" w:sz="0" w:space="0" w:color="auto"/>
          </w:divBdr>
        </w:div>
        <w:div w:id="988821325">
          <w:marLeft w:val="0"/>
          <w:marRight w:val="0"/>
          <w:marTop w:val="0"/>
          <w:marBottom w:val="0"/>
          <w:divBdr>
            <w:top w:val="none" w:sz="0" w:space="0" w:color="auto"/>
            <w:left w:val="none" w:sz="0" w:space="0" w:color="auto"/>
            <w:bottom w:val="none" w:sz="0" w:space="0" w:color="auto"/>
            <w:right w:val="none" w:sz="0" w:space="0" w:color="auto"/>
          </w:divBdr>
        </w:div>
        <w:div w:id="1096708731">
          <w:marLeft w:val="0"/>
          <w:marRight w:val="0"/>
          <w:marTop w:val="0"/>
          <w:marBottom w:val="0"/>
          <w:divBdr>
            <w:top w:val="none" w:sz="0" w:space="0" w:color="auto"/>
            <w:left w:val="none" w:sz="0" w:space="0" w:color="auto"/>
            <w:bottom w:val="none" w:sz="0" w:space="0" w:color="auto"/>
            <w:right w:val="none" w:sz="0" w:space="0" w:color="auto"/>
          </w:divBdr>
        </w:div>
        <w:div w:id="1441611675">
          <w:marLeft w:val="0"/>
          <w:marRight w:val="0"/>
          <w:marTop w:val="0"/>
          <w:marBottom w:val="0"/>
          <w:divBdr>
            <w:top w:val="none" w:sz="0" w:space="0" w:color="auto"/>
            <w:left w:val="none" w:sz="0" w:space="0" w:color="auto"/>
            <w:bottom w:val="none" w:sz="0" w:space="0" w:color="auto"/>
            <w:right w:val="none" w:sz="0" w:space="0" w:color="auto"/>
          </w:divBdr>
        </w:div>
        <w:div w:id="1679960248">
          <w:marLeft w:val="0"/>
          <w:marRight w:val="0"/>
          <w:marTop w:val="0"/>
          <w:marBottom w:val="0"/>
          <w:divBdr>
            <w:top w:val="none" w:sz="0" w:space="0" w:color="auto"/>
            <w:left w:val="none" w:sz="0" w:space="0" w:color="auto"/>
            <w:bottom w:val="none" w:sz="0" w:space="0" w:color="auto"/>
            <w:right w:val="none" w:sz="0" w:space="0" w:color="auto"/>
          </w:divBdr>
        </w:div>
        <w:div w:id="1695643672">
          <w:marLeft w:val="0"/>
          <w:marRight w:val="0"/>
          <w:marTop w:val="0"/>
          <w:marBottom w:val="0"/>
          <w:divBdr>
            <w:top w:val="none" w:sz="0" w:space="0" w:color="auto"/>
            <w:left w:val="none" w:sz="0" w:space="0" w:color="auto"/>
            <w:bottom w:val="none" w:sz="0" w:space="0" w:color="auto"/>
            <w:right w:val="none" w:sz="0" w:space="0" w:color="auto"/>
          </w:divBdr>
        </w:div>
        <w:div w:id="1721249622">
          <w:marLeft w:val="0"/>
          <w:marRight w:val="0"/>
          <w:marTop w:val="0"/>
          <w:marBottom w:val="0"/>
          <w:divBdr>
            <w:top w:val="none" w:sz="0" w:space="0" w:color="auto"/>
            <w:left w:val="none" w:sz="0" w:space="0" w:color="auto"/>
            <w:bottom w:val="none" w:sz="0" w:space="0" w:color="auto"/>
            <w:right w:val="none" w:sz="0" w:space="0" w:color="auto"/>
          </w:divBdr>
        </w:div>
        <w:div w:id="1807164264">
          <w:marLeft w:val="0"/>
          <w:marRight w:val="0"/>
          <w:marTop w:val="0"/>
          <w:marBottom w:val="0"/>
          <w:divBdr>
            <w:top w:val="none" w:sz="0" w:space="0" w:color="auto"/>
            <w:left w:val="none" w:sz="0" w:space="0" w:color="auto"/>
            <w:bottom w:val="none" w:sz="0" w:space="0" w:color="auto"/>
            <w:right w:val="none" w:sz="0" w:space="0" w:color="auto"/>
          </w:divBdr>
        </w:div>
        <w:div w:id="1835753616">
          <w:marLeft w:val="0"/>
          <w:marRight w:val="0"/>
          <w:marTop w:val="0"/>
          <w:marBottom w:val="0"/>
          <w:divBdr>
            <w:top w:val="none" w:sz="0" w:space="0" w:color="auto"/>
            <w:left w:val="none" w:sz="0" w:space="0" w:color="auto"/>
            <w:bottom w:val="none" w:sz="0" w:space="0" w:color="auto"/>
            <w:right w:val="none" w:sz="0" w:space="0" w:color="auto"/>
          </w:divBdr>
        </w:div>
        <w:div w:id="2016767563">
          <w:marLeft w:val="0"/>
          <w:marRight w:val="0"/>
          <w:marTop w:val="0"/>
          <w:marBottom w:val="0"/>
          <w:divBdr>
            <w:top w:val="none" w:sz="0" w:space="0" w:color="auto"/>
            <w:left w:val="none" w:sz="0" w:space="0" w:color="auto"/>
            <w:bottom w:val="none" w:sz="0" w:space="0" w:color="auto"/>
            <w:right w:val="none" w:sz="0" w:space="0" w:color="auto"/>
          </w:divBdr>
        </w:div>
        <w:div w:id="2125926611">
          <w:marLeft w:val="0"/>
          <w:marRight w:val="0"/>
          <w:marTop w:val="0"/>
          <w:marBottom w:val="0"/>
          <w:divBdr>
            <w:top w:val="none" w:sz="0" w:space="0" w:color="auto"/>
            <w:left w:val="none" w:sz="0" w:space="0" w:color="auto"/>
            <w:bottom w:val="none" w:sz="0" w:space="0" w:color="auto"/>
            <w:right w:val="none" w:sz="0" w:space="0" w:color="auto"/>
          </w:divBdr>
        </w:div>
      </w:divsChild>
    </w:div>
    <w:div w:id="1015496564">
      <w:bodyDiv w:val="1"/>
      <w:marLeft w:val="0"/>
      <w:marRight w:val="0"/>
      <w:marTop w:val="0"/>
      <w:marBottom w:val="0"/>
      <w:divBdr>
        <w:top w:val="none" w:sz="0" w:space="0" w:color="auto"/>
        <w:left w:val="none" w:sz="0" w:space="0" w:color="auto"/>
        <w:bottom w:val="none" w:sz="0" w:space="0" w:color="auto"/>
        <w:right w:val="none" w:sz="0" w:space="0" w:color="auto"/>
      </w:divBdr>
    </w:div>
    <w:div w:id="1017465613">
      <w:bodyDiv w:val="1"/>
      <w:marLeft w:val="0"/>
      <w:marRight w:val="0"/>
      <w:marTop w:val="0"/>
      <w:marBottom w:val="0"/>
      <w:divBdr>
        <w:top w:val="none" w:sz="0" w:space="0" w:color="auto"/>
        <w:left w:val="none" w:sz="0" w:space="0" w:color="auto"/>
        <w:bottom w:val="none" w:sz="0" w:space="0" w:color="auto"/>
        <w:right w:val="none" w:sz="0" w:space="0" w:color="auto"/>
      </w:divBdr>
    </w:div>
    <w:div w:id="1017853315">
      <w:bodyDiv w:val="1"/>
      <w:marLeft w:val="0"/>
      <w:marRight w:val="0"/>
      <w:marTop w:val="0"/>
      <w:marBottom w:val="0"/>
      <w:divBdr>
        <w:top w:val="none" w:sz="0" w:space="0" w:color="auto"/>
        <w:left w:val="none" w:sz="0" w:space="0" w:color="auto"/>
        <w:bottom w:val="none" w:sz="0" w:space="0" w:color="auto"/>
        <w:right w:val="none" w:sz="0" w:space="0" w:color="auto"/>
      </w:divBdr>
    </w:div>
    <w:div w:id="1030451285">
      <w:bodyDiv w:val="1"/>
      <w:marLeft w:val="0"/>
      <w:marRight w:val="0"/>
      <w:marTop w:val="0"/>
      <w:marBottom w:val="0"/>
      <w:divBdr>
        <w:top w:val="none" w:sz="0" w:space="0" w:color="auto"/>
        <w:left w:val="none" w:sz="0" w:space="0" w:color="auto"/>
        <w:bottom w:val="none" w:sz="0" w:space="0" w:color="auto"/>
        <w:right w:val="none" w:sz="0" w:space="0" w:color="auto"/>
      </w:divBdr>
    </w:div>
    <w:div w:id="1036537874">
      <w:bodyDiv w:val="1"/>
      <w:marLeft w:val="0"/>
      <w:marRight w:val="0"/>
      <w:marTop w:val="0"/>
      <w:marBottom w:val="0"/>
      <w:divBdr>
        <w:top w:val="none" w:sz="0" w:space="0" w:color="auto"/>
        <w:left w:val="none" w:sz="0" w:space="0" w:color="auto"/>
        <w:bottom w:val="none" w:sz="0" w:space="0" w:color="auto"/>
        <w:right w:val="none" w:sz="0" w:space="0" w:color="auto"/>
      </w:divBdr>
    </w:div>
    <w:div w:id="1046678577">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
    <w:div w:id="1075395692">
      <w:bodyDiv w:val="1"/>
      <w:marLeft w:val="0"/>
      <w:marRight w:val="0"/>
      <w:marTop w:val="0"/>
      <w:marBottom w:val="0"/>
      <w:divBdr>
        <w:top w:val="none" w:sz="0" w:space="0" w:color="auto"/>
        <w:left w:val="none" w:sz="0" w:space="0" w:color="auto"/>
        <w:bottom w:val="none" w:sz="0" w:space="0" w:color="auto"/>
        <w:right w:val="none" w:sz="0" w:space="0" w:color="auto"/>
      </w:divBdr>
    </w:div>
    <w:div w:id="1075514530">
      <w:bodyDiv w:val="1"/>
      <w:marLeft w:val="0"/>
      <w:marRight w:val="0"/>
      <w:marTop w:val="0"/>
      <w:marBottom w:val="0"/>
      <w:divBdr>
        <w:top w:val="none" w:sz="0" w:space="0" w:color="auto"/>
        <w:left w:val="none" w:sz="0" w:space="0" w:color="auto"/>
        <w:bottom w:val="none" w:sz="0" w:space="0" w:color="auto"/>
        <w:right w:val="none" w:sz="0" w:space="0" w:color="auto"/>
      </w:divBdr>
    </w:div>
    <w:div w:id="1079333196">
      <w:bodyDiv w:val="1"/>
      <w:marLeft w:val="0"/>
      <w:marRight w:val="0"/>
      <w:marTop w:val="0"/>
      <w:marBottom w:val="0"/>
      <w:divBdr>
        <w:top w:val="none" w:sz="0" w:space="0" w:color="auto"/>
        <w:left w:val="none" w:sz="0" w:space="0" w:color="auto"/>
        <w:bottom w:val="none" w:sz="0" w:space="0" w:color="auto"/>
        <w:right w:val="none" w:sz="0" w:space="0" w:color="auto"/>
      </w:divBdr>
    </w:div>
    <w:div w:id="1084762103">
      <w:bodyDiv w:val="1"/>
      <w:marLeft w:val="0"/>
      <w:marRight w:val="0"/>
      <w:marTop w:val="0"/>
      <w:marBottom w:val="0"/>
      <w:divBdr>
        <w:top w:val="none" w:sz="0" w:space="0" w:color="auto"/>
        <w:left w:val="none" w:sz="0" w:space="0" w:color="auto"/>
        <w:bottom w:val="none" w:sz="0" w:space="0" w:color="auto"/>
        <w:right w:val="none" w:sz="0" w:space="0" w:color="auto"/>
      </w:divBdr>
    </w:div>
    <w:div w:id="1086416006">
      <w:bodyDiv w:val="1"/>
      <w:marLeft w:val="0"/>
      <w:marRight w:val="0"/>
      <w:marTop w:val="0"/>
      <w:marBottom w:val="0"/>
      <w:divBdr>
        <w:top w:val="none" w:sz="0" w:space="0" w:color="auto"/>
        <w:left w:val="none" w:sz="0" w:space="0" w:color="auto"/>
        <w:bottom w:val="none" w:sz="0" w:space="0" w:color="auto"/>
        <w:right w:val="none" w:sz="0" w:space="0" w:color="auto"/>
      </w:divBdr>
    </w:div>
    <w:div w:id="1090196053">
      <w:bodyDiv w:val="1"/>
      <w:marLeft w:val="0"/>
      <w:marRight w:val="0"/>
      <w:marTop w:val="0"/>
      <w:marBottom w:val="0"/>
      <w:divBdr>
        <w:top w:val="none" w:sz="0" w:space="0" w:color="auto"/>
        <w:left w:val="none" w:sz="0" w:space="0" w:color="auto"/>
        <w:bottom w:val="none" w:sz="0" w:space="0" w:color="auto"/>
        <w:right w:val="none" w:sz="0" w:space="0" w:color="auto"/>
      </w:divBdr>
    </w:div>
    <w:div w:id="1119033376">
      <w:bodyDiv w:val="1"/>
      <w:marLeft w:val="0"/>
      <w:marRight w:val="0"/>
      <w:marTop w:val="0"/>
      <w:marBottom w:val="0"/>
      <w:divBdr>
        <w:top w:val="none" w:sz="0" w:space="0" w:color="auto"/>
        <w:left w:val="none" w:sz="0" w:space="0" w:color="auto"/>
        <w:bottom w:val="none" w:sz="0" w:space="0" w:color="auto"/>
        <w:right w:val="none" w:sz="0" w:space="0" w:color="auto"/>
      </w:divBdr>
    </w:div>
    <w:div w:id="1121000565">
      <w:bodyDiv w:val="1"/>
      <w:marLeft w:val="0"/>
      <w:marRight w:val="0"/>
      <w:marTop w:val="0"/>
      <w:marBottom w:val="0"/>
      <w:divBdr>
        <w:top w:val="none" w:sz="0" w:space="0" w:color="auto"/>
        <w:left w:val="none" w:sz="0" w:space="0" w:color="auto"/>
        <w:bottom w:val="none" w:sz="0" w:space="0" w:color="auto"/>
        <w:right w:val="none" w:sz="0" w:space="0" w:color="auto"/>
      </w:divBdr>
    </w:div>
    <w:div w:id="1133137912">
      <w:bodyDiv w:val="1"/>
      <w:marLeft w:val="0"/>
      <w:marRight w:val="0"/>
      <w:marTop w:val="0"/>
      <w:marBottom w:val="0"/>
      <w:divBdr>
        <w:top w:val="none" w:sz="0" w:space="0" w:color="auto"/>
        <w:left w:val="none" w:sz="0" w:space="0" w:color="auto"/>
        <w:bottom w:val="none" w:sz="0" w:space="0" w:color="auto"/>
        <w:right w:val="none" w:sz="0" w:space="0" w:color="auto"/>
      </w:divBdr>
    </w:div>
    <w:div w:id="1138768939">
      <w:bodyDiv w:val="1"/>
      <w:marLeft w:val="0"/>
      <w:marRight w:val="0"/>
      <w:marTop w:val="0"/>
      <w:marBottom w:val="0"/>
      <w:divBdr>
        <w:top w:val="none" w:sz="0" w:space="0" w:color="auto"/>
        <w:left w:val="none" w:sz="0" w:space="0" w:color="auto"/>
        <w:bottom w:val="none" w:sz="0" w:space="0" w:color="auto"/>
        <w:right w:val="none" w:sz="0" w:space="0" w:color="auto"/>
      </w:divBdr>
    </w:div>
    <w:div w:id="1144736928">
      <w:bodyDiv w:val="1"/>
      <w:marLeft w:val="0"/>
      <w:marRight w:val="0"/>
      <w:marTop w:val="0"/>
      <w:marBottom w:val="0"/>
      <w:divBdr>
        <w:top w:val="none" w:sz="0" w:space="0" w:color="auto"/>
        <w:left w:val="none" w:sz="0" w:space="0" w:color="auto"/>
        <w:bottom w:val="none" w:sz="0" w:space="0" w:color="auto"/>
        <w:right w:val="none" w:sz="0" w:space="0" w:color="auto"/>
      </w:divBdr>
    </w:div>
    <w:div w:id="1145244537">
      <w:bodyDiv w:val="1"/>
      <w:marLeft w:val="0"/>
      <w:marRight w:val="0"/>
      <w:marTop w:val="0"/>
      <w:marBottom w:val="0"/>
      <w:divBdr>
        <w:top w:val="none" w:sz="0" w:space="0" w:color="auto"/>
        <w:left w:val="none" w:sz="0" w:space="0" w:color="auto"/>
        <w:bottom w:val="none" w:sz="0" w:space="0" w:color="auto"/>
        <w:right w:val="none" w:sz="0" w:space="0" w:color="auto"/>
      </w:divBdr>
    </w:div>
    <w:div w:id="1151672091">
      <w:bodyDiv w:val="1"/>
      <w:marLeft w:val="0"/>
      <w:marRight w:val="0"/>
      <w:marTop w:val="0"/>
      <w:marBottom w:val="0"/>
      <w:divBdr>
        <w:top w:val="none" w:sz="0" w:space="0" w:color="auto"/>
        <w:left w:val="none" w:sz="0" w:space="0" w:color="auto"/>
        <w:bottom w:val="none" w:sz="0" w:space="0" w:color="auto"/>
        <w:right w:val="none" w:sz="0" w:space="0" w:color="auto"/>
      </w:divBdr>
    </w:div>
    <w:div w:id="1159543348">
      <w:bodyDiv w:val="1"/>
      <w:marLeft w:val="0"/>
      <w:marRight w:val="0"/>
      <w:marTop w:val="0"/>
      <w:marBottom w:val="0"/>
      <w:divBdr>
        <w:top w:val="none" w:sz="0" w:space="0" w:color="auto"/>
        <w:left w:val="none" w:sz="0" w:space="0" w:color="auto"/>
        <w:bottom w:val="none" w:sz="0" w:space="0" w:color="auto"/>
        <w:right w:val="none" w:sz="0" w:space="0" w:color="auto"/>
      </w:divBdr>
    </w:div>
    <w:div w:id="1165517355">
      <w:bodyDiv w:val="1"/>
      <w:marLeft w:val="0"/>
      <w:marRight w:val="0"/>
      <w:marTop w:val="0"/>
      <w:marBottom w:val="0"/>
      <w:divBdr>
        <w:top w:val="none" w:sz="0" w:space="0" w:color="auto"/>
        <w:left w:val="none" w:sz="0" w:space="0" w:color="auto"/>
        <w:bottom w:val="none" w:sz="0" w:space="0" w:color="auto"/>
        <w:right w:val="none" w:sz="0" w:space="0" w:color="auto"/>
      </w:divBdr>
    </w:div>
    <w:div w:id="1170292088">
      <w:bodyDiv w:val="1"/>
      <w:marLeft w:val="0"/>
      <w:marRight w:val="0"/>
      <w:marTop w:val="0"/>
      <w:marBottom w:val="0"/>
      <w:divBdr>
        <w:top w:val="none" w:sz="0" w:space="0" w:color="auto"/>
        <w:left w:val="none" w:sz="0" w:space="0" w:color="auto"/>
        <w:bottom w:val="none" w:sz="0" w:space="0" w:color="auto"/>
        <w:right w:val="none" w:sz="0" w:space="0" w:color="auto"/>
      </w:divBdr>
    </w:div>
    <w:div w:id="1173422877">
      <w:bodyDiv w:val="1"/>
      <w:marLeft w:val="0"/>
      <w:marRight w:val="0"/>
      <w:marTop w:val="0"/>
      <w:marBottom w:val="0"/>
      <w:divBdr>
        <w:top w:val="none" w:sz="0" w:space="0" w:color="auto"/>
        <w:left w:val="none" w:sz="0" w:space="0" w:color="auto"/>
        <w:bottom w:val="none" w:sz="0" w:space="0" w:color="auto"/>
        <w:right w:val="none" w:sz="0" w:space="0" w:color="auto"/>
      </w:divBdr>
    </w:div>
    <w:div w:id="1182016062">
      <w:bodyDiv w:val="1"/>
      <w:marLeft w:val="0"/>
      <w:marRight w:val="0"/>
      <w:marTop w:val="0"/>
      <w:marBottom w:val="0"/>
      <w:divBdr>
        <w:top w:val="none" w:sz="0" w:space="0" w:color="auto"/>
        <w:left w:val="none" w:sz="0" w:space="0" w:color="auto"/>
        <w:bottom w:val="none" w:sz="0" w:space="0" w:color="auto"/>
        <w:right w:val="none" w:sz="0" w:space="0" w:color="auto"/>
      </w:divBdr>
    </w:div>
    <w:div w:id="1190610468">
      <w:bodyDiv w:val="1"/>
      <w:marLeft w:val="0"/>
      <w:marRight w:val="0"/>
      <w:marTop w:val="0"/>
      <w:marBottom w:val="0"/>
      <w:divBdr>
        <w:top w:val="none" w:sz="0" w:space="0" w:color="auto"/>
        <w:left w:val="none" w:sz="0" w:space="0" w:color="auto"/>
        <w:bottom w:val="none" w:sz="0" w:space="0" w:color="auto"/>
        <w:right w:val="none" w:sz="0" w:space="0" w:color="auto"/>
      </w:divBdr>
    </w:div>
    <w:div w:id="1194224587">
      <w:bodyDiv w:val="1"/>
      <w:marLeft w:val="0"/>
      <w:marRight w:val="0"/>
      <w:marTop w:val="0"/>
      <w:marBottom w:val="0"/>
      <w:divBdr>
        <w:top w:val="none" w:sz="0" w:space="0" w:color="auto"/>
        <w:left w:val="none" w:sz="0" w:space="0" w:color="auto"/>
        <w:bottom w:val="none" w:sz="0" w:space="0" w:color="auto"/>
        <w:right w:val="none" w:sz="0" w:space="0" w:color="auto"/>
      </w:divBdr>
    </w:div>
    <w:div w:id="1200238294">
      <w:bodyDiv w:val="1"/>
      <w:marLeft w:val="0"/>
      <w:marRight w:val="0"/>
      <w:marTop w:val="0"/>
      <w:marBottom w:val="0"/>
      <w:divBdr>
        <w:top w:val="none" w:sz="0" w:space="0" w:color="auto"/>
        <w:left w:val="none" w:sz="0" w:space="0" w:color="auto"/>
        <w:bottom w:val="none" w:sz="0" w:space="0" w:color="auto"/>
        <w:right w:val="none" w:sz="0" w:space="0" w:color="auto"/>
      </w:divBdr>
    </w:div>
    <w:div w:id="1212880947">
      <w:bodyDiv w:val="1"/>
      <w:marLeft w:val="0"/>
      <w:marRight w:val="0"/>
      <w:marTop w:val="0"/>
      <w:marBottom w:val="0"/>
      <w:divBdr>
        <w:top w:val="none" w:sz="0" w:space="0" w:color="auto"/>
        <w:left w:val="none" w:sz="0" w:space="0" w:color="auto"/>
        <w:bottom w:val="none" w:sz="0" w:space="0" w:color="auto"/>
        <w:right w:val="none" w:sz="0" w:space="0" w:color="auto"/>
      </w:divBdr>
    </w:div>
    <w:div w:id="1227184985">
      <w:bodyDiv w:val="1"/>
      <w:marLeft w:val="0"/>
      <w:marRight w:val="0"/>
      <w:marTop w:val="0"/>
      <w:marBottom w:val="0"/>
      <w:divBdr>
        <w:top w:val="none" w:sz="0" w:space="0" w:color="auto"/>
        <w:left w:val="none" w:sz="0" w:space="0" w:color="auto"/>
        <w:bottom w:val="none" w:sz="0" w:space="0" w:color="auto"/>
        <w:right w:val="none" w:sz="0" w:space="0" w:color="auto"/>
      </w:divBdr>
    </w:div>
    <w:div w:id="1235820573">
      <w:bodyDiv w:val="1"/>
      <w:marLeft w:val="0"/>
      <w:marRight w:val="0"/>
      <w:marTop w:val="0"/>
      <w:marBottom w:val="0"/>
      <w:divBdr>
        <w:top w:val="none" w:sz="0" w:space="0" w:color="auto"/>
        <w:left w:val="none" w:sz="0" w:space="0" w:color="auto"/>
        <w:bottom w:val="none" w:sz="0" w:space="0" w:color="auto"/>
        <w:right w:val="none" w:sz="0" w:space="0" w:color="auto"/>
      </w:divBdr>
    </w:div>
    <w:div w:id="1254820002">
      <w:bodyDiv w:val="1"/>
      <w:marLeft w:val="0"/>
      <w:marRight w:val="0"/>
      <w:marTop w:val="0"/>
      <w:marBottom w:val="0"/>
      <w:divBdr>
        <w:top w:val="none" w:sz="0" w:space="0" w:color="auto"/>
        <w:left w:val="none" w:sz="0" w:space="0" w:color="auto"/>
        <w:bottom w:val="none" w:sz="0" w:space="0" w:color="auto"/>
        <w:right w:val="none" w:sz="0" w:space="0" w:color="auto"/>
      </w:divBdr>
    </w:div>
    <w:div w:id="1266691573">
      <w:bodyDiv w:val="1"/>
      <w:marLeft w:val="0"/>
      <w:marRight w:val="0"/>
      <w:marTop w:val="0"/>
      <w:marBottom w:val="0"/>
      <w:divBdr>
        <w:top w:val="none" w:sz="0" w:space="0" w:color="auto"/>
        <w:left w:val="none" w:sz="0" w:space="0" w:color="auto"/>
        <w:bottom w:val="none" w:sz="0" w:space="0" w:color="auto"/>
        <w:right w:val="none" w:sz="0" w:space="0" w:color="auto"/>
      </w:divBdr>
    </w:div>
    <w:div w:id="1287466198">
      <w:bodyDiv w:val="1"/>
      <w:marLeft w:val="0"/>
      <w:marRight w:val="0"/>
      <w:marTop w:val="0"/>
      <w:marBottom w:val="0"/>
      <w:divBdr>
        <w:top w:val="none" w:sz="0" w:space="0" w:color="auto"/>
        <w:left w:val="none" w:sz="0" w:space="0" w:color="auto"/>
        <w:bottom w:val="none" w:sz="0" w:space="0" w:color="auto"/>
        <w:right w:val="none" w:sz="0" w:space="0" w:color="auto"/>
      </w:divBdr>
    </w:div>
    <w:div w:id="1299334840">
      <w:bodyDiv w:val="1"/>
      <w:marLeft w:val="0"/>
      <w:marRight w:val="0"/>
      <w:marTop w:val="0"/>
      <w:marBottom w:val="0"/>
      <w:divBdr>
        <w:top w:val="none" w:sz="0" w:space="0" w:color="auto"/>
        <w:left w:val="none" w:sz="0" w:space="0" w:color="auto"/>
        <w:bottom w:val="none" w:sz="0" w:space="0" w:color="auto"/>
        <w:right w:val="none" w:sz="0" w:space="0" w:color="auto"/>
      </w:divBdr>
    </w:div>
    <w:div w:id="1303928854">
      <w:bodyDiv w:val="1"/>
      <w:marLeft w:val="0"/>
      <w:marRight w:val="0"/>
      <w:marTop w:val="0"/>
      <w:marBottom w:val="0"/>
      <w:divBdr>
        <w:top w:val="none" w:sz="0" w:space="0" w:color="auto"/>
        <w:left w:val="none" w:sz="0" w:space="0" w:color="auto"/>
        <w:bottom w:val="none" w:sz="0" w:space="0" w:color="auto"/>
        <w:right w:val="none" w:sz="0" w:space="0" w:color="auto"/>
      </w:divBdr>
    </w:div>
    <w:div w:id="1319773075">
      <w:bodyDiv w:val="1"/>
      <w:marLeft w:val="0"/>
      <w:marRight w:val="0"/>
      <w:marTop w:val="0"/>
      <w:marBottom w:val="0"/>
      <w:divBdr>
        <w:top w:val="none" w:sz="0" w:space="0" w:color="auto"/>
        <w:left w:val="none" w:sz="0" w:space="0" w:color="auto"/>
        <w:bottom w:val="none" w:sz="0" w:space="0" w:color="auto"/>
        <w:right w:val="none" w:sz="0" w:space="0" w:color="auto"/>
      </w:divBdr>
    </w:div>
    <w:div w:id="1327133005">
      <w:bodyDiv w:val="1"/>
      <w:marLeft w:val="0"/>
      <w:marRight w:val="0"/>
      <w:marTop w:val="0"/>
      <w:marBottom w:val="0"/>
      <w:divBdr>
        <w:top w:val="none" w:sz="0" w:space="0" w:color="auto"/>
        <w:left w:val="none" w:sz="0" w:space="0" w:color="auto"/>
        <w:bottom w:val="none" w:sz="0" w:space="0" w:color="auto"/>
        <w:right w:val="none" w:sz="0" w:space="0" w:color="auto"/>
      </w:divBdr>
    </w:div>
    <w:div w:id="1330792981">
      <w:bodyDiv w:val="1"/>
      <w:marLeft w:val="0"/>
      <w:marRight w:val="0"/>
      <w:marTop w:val="0"/>
      <w:marBottom w:val="0"/>
      <w:divBdr>
        <w:top w:val="none" w:sz="0" w:space="0" w:color="auto"/>
        <w:left w:val="none" w:sz="0" w:space="0" w:color="auto"/>
        <w:bottom w:val="none" w:sz="0" w:space="0" w:color="auto"/>
        <w:right w:val="none" w:sz="0" w:space="0" w:color="auto"/>
      </w:divBdr>
    </w:div>
    <w:div w:id="1333147739">
      <w:bodyDiv w:val="1"/>
      <w:marLeft w:val="0"/>
      <w:marRight w:val="0"/>
      <w:marTop w:val="0"/>
      <w:marBottom w:val="0"/>
      <w:divBdr>
        <w:top w:val="none" w:sz="0" w:space="0" w:color="auto"/>
        <w:left w:val="none" w:sz="0" w:space="0" w:color="auto"/>
        <w:bottom w:val="none" w:sz="0" w:space="0" w:color="auto"/>
        <w:right w:val="none" w:sz="0" w:space="0" w:color="auto"/>
      </w:divBdr>
    </w:div>
    <w:div w:id="1346783545">
      <w:bodyDiv w:val="1"/>
      <w:marLeft w:val="0"/>
      <w:marRight w:val="0"/>
      <w:marTop w:val="0"/>
      <w:marBottom w:val="0"/>
      <w:divBdr>
        <w:top w:val="none" w:sz="0" w:space="0" w:color="auto"/>
        <w:left w:val="none" w:sz="0" w:space="0" w:color="auto"/>
        <w:bottom w:val="none" w:sz="0" w:space="0" w:color="auto"/>
        <w:right w:val="none" w:sz="0" w:space="0" w:color="auto"/>
      </w:divBdr>
    </w:div>
    <w:div w:id="1348480027">
      <w:bodyDiv w:val="1"/>
      <w:marLeft w:val="0"/>
      <w:marRight w:val="0"/>
      <w:marTop w:val="0"/>
      <w:marBottom w:val="0"/>
      <w:divBdr>
        <w:top w:val="none" w:sz="0" w:space="0" w:color="auto"/>
        <w:left w:val="none" w:sz="0" w:space="0" w:color="auto"/>
        <w:bottom w:val="none" w:sz="0" w:space="0" w:color="auto"/>
        <w:right w:val="none" w:sz="0" w:space="0" w:color="auto"/>
      </w:divBdr>
    </w:div>
    <w:div w:id="1351175766">
      <w:bodyDiv w:val="1"/>
      <w:marLeft w:val="0"/>
      <w:marRight w:val="0"/>
      <w:marTop w:val="0"/>
      <w:marBottom w:val="0"/>
      <w:divBdr>
        <w:top w:val="none" w:sz="0" w:space="0" w:color="auto"/>
        <w:left w:val="none" w:sz="0" w:space="0" w:color="auto"/>
        <w:bottom w:val="none" w:sz="0" w:space="0" w:color="auto"/>
        <w:right w:val="none" w:sz="0" w:space="0" w:color="auto"/>
      </w:divBdr>
    </w:div>
    <w:div w:id="1360542989">
      <w:bodyDiv w:val="1"/>
      <w:marLeft w:val="0"/>
      <w:marRight w:val="0"/>
      <w:marTop w:val="0"/>
      <w:marBottom w:val="0"/>
      <w:divBdr>
        <w:top w:val="none" w:sz="0" w:space="0" w:color="auto"/>
        <w:left w:val="none" w:sz="0" w:space="0" w:color="auto"/>
        <w:bottom w:val="none" w:sz="0" w:space="0" w:color="auto"/>
        <w:right w:val="none" w:sz="0" w:space="0" w:color="auto"/>
      </w:divBdr>
    </w:div>
    <w:div w:id="1365445041">
      <w:bodyDiv w:val="1"/>
      <w:marLeft w:val="0"/>
      <w:marRight w:val="0"/>
      <w:marTop w:val="0"/>
      <w:marBottom w:val="0"/>
      <w:divBdr>
        <w:top w:val="none" w:sz="0" w:space="0" w:color="auto"/>
        <w:left w:val="none" w:sz="0" w:space="0" w:color="auto"/>
        <w:bottom w:val="none" w:sz="0" w:space="0" w:color="auto"/>
        <w:right w:val="none" w:sz="0" w:space="0" w:color="auto"/>
      </w:divBdr>
    </w:div>
    <w:div w:id="1379860997">
      <w:bodyDiv w:val="1"/>
      <w:marLeft w:val="0"/>
      <w:marRight w:val="0"/>
      <w:marTop w:val="0"/>
      <w:marBottom w:val="0"/>
      <w:divBdr>
        <w:top w:val="none" w:sz="0" w:space="0" w:color="auto"/>
        <w:left w:val="none" w:sz="0" w:space="0" w:color="auto"/>
        <w:bottom w:val="none" w:sz="0" w:space="0" w:color="auto"/>
        <w:right w:val="none" w:sz="0" w:space="0" w:color="auto"/>
      </w:divBdr>
    </w:div>
    <w:div w:id="1381587597">
      <w:bodyDiv w:val="1"/>
      <w:marLeft w:val="0"/>
      <w:marRight w:val="0"/>
      <w:marTop w:val="0"/>
      <w:marBottom w:val="0"/>
      <w:divBdr>
        <w:top w:val="none" w:sz="0" w:space="0" w:color="auto"/>
        <w:left w:val="none" w:sz="0" w:space="0" w:color="auto"/>
        <w:bottom w:val="none" w:sz="0" w:space="0" w:color="auto"/>
        <w:right w:val="none" w:sz="0" w:space="0" w:color="auto"/>
      </w:divBdr>
      <w:divsChild>
        <w:div w:id="783962627">
          <w:marLeft w:val="0"/>
          <w:marRight w:val="0"/>
          <w:marTop w:val="0"/>
          <w:marBottom w:val="0"/>
          <w:divBdr>
            <w:top w:val="none" w:sz="0" w:space="0" w:color="auto"/>
            <w:left w:val="none" w:sz="0" w:space="0" w:color="auto"/>
            <w:bottom w:val="none" w:sz="0" w:space="0" w:color="auto"/>
            <w:right w:val="none" w:sz="0" w:space="0" w:color="auto"/>
          </w:divBdr>
        </w:div>
        <w:div w:id="903682365">
          <w:marLeft w:val="0"/>
          <w:marRight w:val="0"/>
          <w:marTop w:val="0"/>
          <w:marBottom w:val="0"/>
          <w:divBdr>
            <w:top w:val="none" w:sz="0" w:space="0" w:color="auto"/>
            <w:left w:val="none" w:sz="0" w:space="0" w:color="auto"/>
            <w:bottom w:val="none" w:sz="0" w:space="0" w:color="auto"/>
            <w:right w:val="none" w:sz="0" w:space="0" w:color="auto"/>
          </w:divBdr>
        </w:div>
        <w:div w:id="997155304">
          <w:marLeft w:val="0"/>
          <w:marRight w:val="0"/>
          <w:marTop w:val="0"/>
          <w:marBottom w:val="0"/>
          <w:divBdr>
            <w:top w:val="none" w:sz="0" w:space="0" w:color="auto"/>
            <w:left w:val="none" w:sz="0" w:space="0" w:color="auto"/>
            <w:bottom w:val="none" w:sz="0" w:space="0" w:color="auto"/>
            <w:right w:val="none" w:sz="0" w:space="0" w:color="auto"/>
          </w:divBdr>
        </w:div>
        <w:div w:id="1252590026">
          <w:marLeft w:val="0"/>
          <w:marRight w:val="0"/>
          <w:marTop w:val="0"/>
          <w:marBottom w:val="0"/>
          <w:divBdr>
            <w:top w:val="none" w:sz="0" w:space="0" w:color="auto"/>
            <w:left w:val="none" w:sz="0" w:space="0" w:color="auto"/>
            <w:bottom w:val="none" w:sz="0" w:space="0" w:color="auto"/>
            <w:right w:val="none" w:sz="0" w:space="0" w:color="auto"/>
          </w:divBdr>
        </w:div>
      </w:divsChild>
    </w:div>
    <w:div w:id="1382285767">
      <w:bodyDiv w:val="1"/>
      <w:marLeft w:val="0"/>
      <w:marRight w:val="0"/>
      <w:marTop w:val="0"/>
      <w:marBottom w:val="0"/>
      <w:divBdr>
        <w:top w:val="none" w:sz="0" w:space="0" w:color="auto"/>
        <w:left w:val="none" w:sz="0" w:space="0" w:color="auto"/>
        <w:bottom w:val="none" w:sz="0" w:space="0" w:color="auto"/>
        <w:right w:val="none" w:sz="0" w:space="0" w:color="auto"/>
      </w:divBdr>
    </w:div>
    <w:div w:id="1382287548">
      <w:bodyDiv w:val="1"/>
      <w:marLeft w:val="0"/>
      <w:marRight w:val="0"/>
      <w:marTop w:val="0"/>
      <w:marBottom w:val="0"/>
      <w:divBdr>
        <w:top w:val="none" w:sz="0" w:space="0" w:color="auto"/>
        <w:left w:val="none" w:sz="0" w:space="0" w:color="auto"/>
        <w:bottom w:val="none" w:sz="0" w:space="0" w:color="auto"/>
        <w:right w:val="none" w:sz="0" w:space="0" w:color="auto"/>
      </w:divBdr>
    </w:div>
    <w:div w:id="1385330593">
      <w:bodyDiv w:val="1"/>
      <w:marLeft w:val="0"/>
      <w:marRight w:val="0"/>
      <w:marTop w:val="0"/>
      <w:marBottom w:val="0"/>
      <w:divBdr>
        <w:top w:val="none" w:sz="0" w:space="0" w:color="auto"/>
        <w:left w:val="none" w:sz="0" w:space="0" w:color="auto"/>
        <w:bottom w:val="none" w:sz="0" w:space="0" w:color="auto"/>
        <w:right w:val="none" w:sz="0" w:space="0" w:color="auto"/>
      </w:divBdr>
    </w:div>
    <w:div w:id="1390418715">
      <w:bodyDiv w:val="1"/>
      <w:marLeft w:val="0"/>
      <w:marRight w:val="0"/>
      <w:marTop w:val="0"/>
      <w:marBottom w:val="0"/>
      <w:divBdr>
        <w:top w:val="none" w:sz="0" w:space="0" w:color="auto"/>
        <w:left w:val="none" w:sz="0" w:space="0" w:color="auto"/>
        <w:bottom w:val="none" w:sz="0" w:space="0" w:color="auto"/>
        <w:right w:val="none" w:sz="0" w:space="0" w:color="auto"/>
      </w:divBdr>
    </w:div>
    <w:div w:id="1391034334">
      <w:bodyDiv w:val="1"/>
      <w:marLeft w:val="0"/>
      <w:marRight w:val="0"/>
      <w:marTop w:val="0"/>
      <w:marBottom w:val="0"/>
      <w:divBdr>
        <w:top w:val="none" w:sz="0" w:space="0" w:color="auto"/>
        <w:left w:val="none" w:sz="0" w:space="0" w:color="auto"/>
        <w:bottom w:val="none" w:sz="0" w:space="0" w:color="auto"/>
        <w:right w:val="none" w:sz="0" w:space="0" w:color="auto"/>
      </w:divBdr>
    </w:div>
    <w:div w:id="1391490953">
      <w:bodyDiv w:val="1"/>
      <w:marLeft w:val="0"/>
      <w:marRight w:val="0"/>
      <w:marTop w:val="0"/>
      <w:marBottom w:val="0"/>
      <w:divBdr>
        <w:top w:val="none" w:sz="0" w:space="0" w:color="auto"/>
        <w:left w:val="none" w:sz="0" w:space="0" w:color="auto"/>
        <w:bottom w:val="none" w:sz="0" w:space="0" w:color="auto"/>
        <w:right w:val="none" w:sz="0" w:space="0" w:color="auto"/>
      </w:divBdr>
    </w:div>
    <w:div w:id="1404445046">
      <w:bodyDiv w:val="1"/>
      <w:marLeft w:val="0"/>
      <w:marRight w:val="0"/>
      <w:marTop w:val="0"/>
      <w:marBottom w:val="0"/>
      <w:divBdr>
        <w:top w:val="none" w:sz="0" w:space="0" w:color="auto"/>
        <w:left w:val="none" w:sz="0" w:space="0" w:color="auto"/>
        <w:bottom w:val="none" w:sz="0" w:space="0" w:color="auto"/>
        <w:right w:val="none" w:sz="0" w:space="0" w:color="auto"/>
      </w:divBdr>
    </w:div>
    <w:div w:id="1417432959">
      <w:bodyDiv w:val="1"/>
      <w:marLeft w:val="0"/>
      <w:marRight w:val="0"/>
      <w:marTop w:val="0"/>
      <w:marBottom w:val="0"/>
      <w:divBdr>
        <w:top w:val="none" w:sz="0" w:space="0" w:color="auto"/>
        <w:left w:val="none" w:sz="0" w:space="0" w:color="auto"/>
        <w:bottom w:val="none" w:sz="0" w:space="0" w:color="auto"/>
        <w:right w:val="none" w:sz="0" w:space="0" w:color="auto"/>
      </w:divBdr>
      <w:divsChild>
        <w:div w:id="2174434">
          <w:marLeft w:val="0"/>
          <w:marRight w:val="0"/>
          <w:marTop w:val="0"/>
          <w:marBottom w:val="0"/>
          <w:divBdr>
            <w:top w:val="none" w:sz="0" w:space="0" w:color="auto"/>
            <w:left w:val="none" w:sz="0" w:space="0" w:color="auto"/>
            <w:bottom w:val="none" w:sz="0" w:space="0" w:color="auto"/>
            <w:right w:val="none" w:sz="0" w:space="0" w:color="auto"/>
          </w:divBdr>
        </w:div>
        <w:div w:id="84151552">
          <w:marLeft w:val="0"/>
          <w:marRight w:val="0"/>
          <w:marTop w:val="0"/>
          <w:marBottom w:val="0"/>
          <w:divBdr>
            <w:top w:val="none" w:sz="0" w:space="0" w:color="auto"/>
            <w:left w:val="none" w:sz="0" w:space="0" w:color="auto"/>
            <w:bottom w:val="none" w:sz="0" w:space="0" w:color="auto"/>
            <w:right w:val="none" w:sz="0" w:space="0" w:color="auto"/>
          </w:divBdr>
        </w:div>
        <w:div w:id="671490584">
          <w:marLeft w:val="0"/>
          <w:marRight w:val="0"/>
          <w:marTop w:val="0"/>
          <w:marBottom w:val="0"/>
          <w:divBdr>
            <w:top w:val="none" w:sz="0" w:space="0" w:color="auto"/>
            <w:left w:val="none" w:sz="0" w:space="0" w:color="auto"/>
            <w:bottom w:val="none" w:sz="0" w:space="0" w:color="auto"/>
            <w:right w:val="none" w:sz="0" w:space="0" w:color="auto"/>
          </w:divBdr>
        </w:div>
        <w:div w:id="1066807158">
          <w:marLeft w:val="0"/>
          <w:marRight w:val="0"/>
          <w:marTop w:val="0"/>
          <w:marBottom w:val="0"/>
          <w:divBdr>
            <w:top w:val="none" w:sz="0" w:space="0" w:color="auto"/>
            <w:left w:val="none" w:sz="0" w:space="0" w:color="auto"/>
            <w:bottom w:val="none" w:sz="0" w:space="0" w:color="auto"/>
            <w:right w:val="none" w:sz="0" w:space="0" w:color="auto"/>
          </w:divBdr>
        </w:div>
        <w:div w:id="1288316106">
          <w:marLeft w:val="0"/>
          <w:marRight w:val="0"/>
          <w:marTop w:val="0"/>
          <w:marBottom w:val="0"/>
          <w:divBdr>
            <w:top w:val="none" w:sz="0" w:space="0" w:color="auto"/>
            <w:left w:val="none" w:sz="0" w:space="0" w:color="auto"/>
            <w:bottom w:val="none" w:sz="0" w:space="0" w:color="auto"/>
            <w:right w:val="none" w:sz="0" w:space="0" w:color="auto"/>
          </w:divBdr>
        </w:div>
        <w:div w:id="1407535688">
          <w:marLeft w:val="0"/>
          <w:marRight w:val="0"/>
          <w:marTop w:val="0"/>
          <w:marBottom w:val="0"/>
          <w:divBdr>
            <w:top w:val="none" w:sz="0" w:space="0" w:color="auto"/>
            <w:left w:val="none" w:sz="0" w:space="0" w:color="auto"/>
            <w:bottom w:val="none" w:sz="0" w:space="0" w:color="auto"/>
            <w:right w:val="none" w:sz="0" w:space="0" w:color="auto"/>
          </w:divBdr>
        </w:div>
        <w:div w:id="1516310081">
          <w:marLeft w:val="0"/>
          <w:marRight w:val="0"/>
          <w:marTop w:val="0"/>
          <w:marBottom w:val="0"/>
          <w:divBdr>
            <w:top w:val="none" w:sz="0" w:space="0" w:color="auto"/>
            <w:left w:val="none" w:sz="0" w:space="0" w:color="auto"/>
            <w:bottom w:val="none" w:sz="0" w:space="0" w:color="auto"/>
            <w:right w:val="none" w:sz="0" w:space="0" w:color="auto"/>
          </w:divBdr>
        </w:div>
        <w:div w:id="1633944287">
          <w:marLeft w:val="0"/>
          <w:marRight w:val="0"/>
          <w:marTop w:val="0"/>
          <w:marBottom w:val="0"/>
          <w:divBdr>
            <w:top w:val="none" w:sz="0" w:space="0" w:color="auto"/>
            <w:left w:val="none" w:sz="0" w:space="0" w:color="auto"/>
            <w:bottom w:val="none" w:sz="0" w:space="0" w:color="auto"/>
            <w:right w:val="none" w:sz="0" w:space="0" w:color="auto"/>
          </w:divBdr>
        </w:div>
        <w:div w:id="1650817720">
          <w:marLeft w:val="0"/>
          <w:marRight w:val="0"/>
          <w:marTop w:val="0"/>
          <w:marBottom w:val="0"/>
          <w:divBdr>
            <w:top w:val="none" w:sz="0" w:space="0" w:color="auto"/>
            <w:left w:val="none" w:sz="0" w:space="0" w:color="auto"/>
            <w:bottom w:val="none" w:sz="0" w:space="0" w:color="auto"/>
            <w:right w:val="none" w:sz="0" w:space="0" w:color="auto"/>
          </w:divBdr>
        </w:div>
      </w:divsChild>
    </w:div>
    <w:div w:id="1441606510">
      <w:bodyDiv w:val="1"/>
      <w:marLeft w:val="0"/>
      <w:marRight w:val="0"/>
      <w:marTop w:val="0"/>
      <w:marBottom w:val="0"/>
      <w:divBdr>
        <w:top w:val="none" w:sz="0" w:space="0" w:color="auto"/>
        <w:left w:val="none" w:sz="0" w:space="0" w:color="auto"/>
        <w:bottom w:val="none" w:sz="0" w:space="0" w:color="auto"/>
        <w:right w:val="none" w:sz="0" w:space="0" w:color="auto"/>
      </w:divBdr>
    </w:div>
    <w:div w:id="1443843946">
      <w:bodyDiv w:val="1"/>
      <w:marLeft w:val="0"/>
      <w:marRight w:val="0"/>
      <w:marTop w:val="0"/>
      <w:marBottom w:val="0"/>
      <w:divBdr>
        <w:top w:val="none" w:sz="0" w:space="0" w:color="auto"/>
        <w:left w:val="none" w:sz="0" w:space="0" w:color="auto"/>
        <w:bottom w:val="none" w:sz="0" w:space="0" w:color="auto"/>
        <w:right w:val="none" w:sz="0" w:space="0" w:color="auto"/>
      </w:divBdr>
    </w:div>
    <w:div w:id="1446728846">
      <w:bodyDiv w:val="1"/>
      <w:marLeft w:val="0"/>
      <w:marRight w:val="0"/>
      <w:marTop w:val="0"/>
      <w:marBottom w:val="0"/>
      <w:divBdr>
        <w:top w:val="none" w:sz="0" w:space="0" w:color="auto"/>
        <w:left w:val="none" w:sz="0" w:space="0" w:color="auto"/>
        <w:bottom w:val="none" w:sz="0" w:space="0" w:color="auto"/>
        <w:right w:val="none" w:sz="0" w:space="0" w:color="auto"/>
      </w:divBdr>
    </w:div>
    <w:div w:id="1469199286">
      <w:bodyDiv w:val="1"/>
      <w:marLeft w:val="0"/>
      <w:marRight w:val="0"/>
      <w:marTop w:val="0"/>
      <w:marBottom w:val="0"/>
      <w:divBdr>
        <w:top w:val="none" w:sz="0" w:space="0" w:color="auto"/>
        <w:left w:val="none" w:sz="0" w:space="0" w:color="auto"/>
        <w:bottom w:val="none" w:sz="0" w:space="0" w:color="auto"/>
        <w:right w:val="none" w:sz="0" w:space="0" w:color="auto"/>
      </w:divBdr>
    </w:div>
    <w:div w:id="1481846599">
      <w:bodyDiv w:val="1"/>
      <w:marLeft w:val="0"/>
      <w:marRight w:val="0"/>
      <w:marTop w:val="0"/>
      <w:marBottom w:val="0"/>
      <w:divBdr>
        <w:top w:val="none" w:sz="0" w:space="0" w:color="auto"/>
        <w:left w:val="none" w:sz="0" w:space="0" w:color="auto"/>
        <w:bottom w:val="none" w:sz="0" w:space="0" w:color="auto"/>
        <w:right w:val="none" w:sz="0" w:space="0" w:color="auto"/>
      </w:divBdr>
    </w:div>
    <w:div w:id="1483616625">
      <w:bodyDiv w:val="1"/>
      <w:marLeft w:val="0"/>
      <w:marRight w:val="0"/>
      <w:marTop w:val="0"/>
      <w:marBottom w:val="0"/>
      <w:divBdr>
        <w:top w:val="none" w:sz="0" w:space="0" w:color="auto"/>
        <w:left w:val="none" w:sz="0" w:space="0" w:color="auto"/>
        <w:bottom w:val="none" w:sz="0" w:space="0" w:color="auto"/>
        <w:right w:val="none" w:sz="0" w:space="0" w:color="auto"/>
      </w:divBdr>
    </w:div>
    <w:div w:id="1490247026">
      <w:bodyDiv w:val="1"/>
      <w:marLeft w:val="0"/>
      <w:marRight w:val="0"/>
      <w:marTop w:val="0"/>
      <w:marBottom w:val="0"/>
      <w:divBdr>
        <w:top w:val="none" w:sz="0" w:space="0" w:color="auto"/>
        <w:left w:val="none" w:sz="0" w:space="0" w:color="auto"/>
        <w:bottom w:val="none" w:sz="0" w:space="0" w:color="auto"/>
        <w:right w:val="none" w:sz="0" w:space="0" w:color="auto"/>
      </w:divBdr>
    </w:div>
    <w:div w:id="1499734350">
      <w:bodyDiv w:val="1"/>
      <w:marLeft w:val="0"/>
      <w:marRight w:val="0"/>
      <w:marTop w:val="0"/>
      <w:marBottom w:val="0"/>
      <w:divBdr>
        <w:top w:val="none" w:sz="0" w:space="0" w:color="auto"/>
        <w:left w:val="none" w:sz="0" w:space="0" w:color="auto"/>
        <w:bottom w:val="none" w:sz="0" w:space="0" w:color="auto"/>
        <w:right w:val="none" w:sz="0" w:space="0" w:color="auto"/>
      </w:divBdr>
    </w:div>
    <w:div w:id="1515220355">
      <w:bodyDiv w:val="1"/>
      <w:marLeft w:val="0"/>
      <w:marRight w:val="0"/>
      <w:marTop w:val="0"/>
      <w:marBottom w:val="0"/>
      <w:divBdr>
        <w:top w:val="none" w:sz="0" w:space="0" w:color="auto"/>
        <w:left w:val="none" w:sz="0" w:space="0" w:color="auto"/>
        <w:bottom w:val="none" w:sz="0" w:space="0" w:color="auto"/>
        <w:right w:val="none" w:sz="0" w:space="0" w:color="auto"/>
      </w:divBdr>
    </w:div>
    <w:div w:id="1522742955">
      <w:bodyDiv w:val="1"/>
      <w:marLeft w:val="0"/>
      <w:marRight w:val="0"/>
      <w:marTop w:val="0"/>
      <w:marBottom w:val="0"/>
      <w:divBdr>
        <w:top w:val="none" w:sz="0" w:space="0" w:color="auto"/>
        <w:left w:val="none" w:sz="0" w:space="0" w:color="auto"/>
        <w:bottom w:val="none" w:sz="0" w:space="0" w:color="auto"/>
        <w:right w:val="none" w:sz="0" w:space="0" w:color="auto"/>
      </w:divBdr>
    </w:div>
    <w:div w:id="1527987628">
      <w:bodyDiv w:val="1"/>
      <w:marLeft w:val="0"/>
      <w:marRight w:val="0"/>
      <w:marTop w:val="0"/>
      <w:marBottom w:val="0"/>
      <w:divBdr>
        <w:top w:val="none" w:sz="0" w:space="0" w:color="auto"/>
        <w:left w:val="none" w:sz="0" w:space="0" w:color="auto"/>
        <w:bottom w:val="none" w:sz="0" w:space="0" w:color="auto"/>
        <w:right w:val="none" w:sz="0" w:space="0" w:color="auto"/>
      </w:divBdr>
    </w:div>
    <w:div w:id="1530335881">
      <w:bodyDiv w:val="1"/>
      <w:marLeft w:val="0"/>
      <w:marRight w:val="0"/>
      <w:marTop w:val="0"/>
      <w:marBottom w:val="0"/>
      <w:divBdr>
        <w:top w:val="none" w:sz="0" w:space="0" w:color="auto"/>
        <w:left w:val="none" w:sz="0" w:space="0" w:color="auto"/>
        <w:bottom w:val="none" w:sz="0" w:space="0" w:color="auto"/>
        <w:right w:val="none" w:sz="0" w:space="0" w:color="auto"/>
      </w:divBdr>
    </w:div>
    <w:div w:id="1533032209">
      <w:bodyDiv w:val="1"/>
      <w:marLeft w:val="0"/>
      <w:marRight w:val="0"/>
      <w:marTop w:val="0"/>
      <w:marBottom w:val="0"/>
      <w:divBdr>
        <w:top w:val="none" w:sz="0" w:space="0" w:color="auto"/>
        <w:left w:val="none" w:sz="0" w:space="0" w:color="auto"/>
        <w:bottom w:val="none" w:sz="0" w:space="0" w:color="auto"/>
        <w:right w:val="none" w:sz="0" w:space="0" w:color="auto"/>
      </w:divBdr>
    </w:div>
    <w:div w:id="1535116901">
      <w:bodyDiv w:val="1"/>
      <w:marLeft w:val="0"/>
      <w:marRight w:val="0"/>
      <w:marTop w:val="0"/>
      <w:marBottom w:val="0"/>
      <w:divBdr>
        <w:top w:val="none" w:sz="0" w:space="0" w:color="auto"/>
        <w:left w:val="none" w:sz="0" w:space="0" w:color="auto"/>
        <w:bottom w:val="none" w:sz="0" w:space="0" w:color="auto"/>
        <w:right w:val="none" w:sz="0" w:space="0" w:color="auto"/>
      </w:divBdr>
    </w:div>
    <w:div w:id="1554268376">
      <w:bodyDiv w:val="1"/>
      <w:marLeft w:val="0"/>
      <w:marRight w:val="0"/>
      <w:marTop w:val="0"/>
      <w:marBottom w:val="0"/>
      <w:divBdr>
        <w:top w:val="none" w:sz="0" w:space="0" w:color="auto"/>
        <w:left w:val="none" w:sz="0" w:space="0" w:color="auto"/>
        <w:bottom w:val="none" w:sz="0" w:space="0" w:color="auto"/>
        <w:right w:val="none" w:sz="0" w:space="0" w:color="auto"/>
      </w:divBdr>
    </w:div>
    <w:div w:id="1572230329">
      <w:bodyDiv w:val="1"/>
      <w:marLeft w:val="0"/>
      <w:marRight w:val="0"/>
      <w:marTop w:val="0"/>
      <w:marBottom w:val="0"/>
      <w:divBdr>
        <w:top w:val="none" w:sz="0" w:space="0" w:color="auto"/>
        <w:left w:val="none" w:sz="0" w:space="0" w:color="auto"/>
        <w:bottom w:val="none" w:sz="0" w:space="0" w:color="auto"/>
        <w:right w:val="none" w:sz="0" w:space="0" w:color="auto"/>
      </w:divBdr>
    </w:div>
    <w:div w:id="1576166478">
      <w:bodyDiv w:val="1"/>
      <w:marLeft w:val="0"/>
      <w:marRight w:val="0"/>
      <w:marTop w:val="0"/>
      <w:marBottom w:val="0"/>
      <w:divBdr>
        <w:top w:val="none" w:sz="0" w:space="0" w:color="auto"/>
        <w:left w:val="none" w:sz="0" w:space="0" w:color="auto"/>
        <w:bottom w:val="none" w:sz="0" w:space="0" w:color="auto"/>
        <w:right w:val="none" w:sz="0" w:space="0" w:color="auto"/>
      </w:divBdr>
    </w:div>
    <w:div w:id="1580015218">
      <w:bodyDiv w:val="1"/>
      <w:marLeft w:val="0"/>
      <w:marRight w:val="0"/>
      <w:marTop w:val="0"/>
      <w:marBottom w:val="0"/>
      <w:divBdr>
        <w:top w:val="none" w:sz="0" w:space="0" w:color="auto"/>
        <w:left w:val="none" w:sz="0" w:space="0" w:color="auto"/>
        <w:bottom w:val="none" w:sz="0" w:space="0" w:color="auto"/>
        <w:right w:val="none" w:sz="0" w:space="0" w:color="auto"/>
      </w:divBdr>
    </w:div>
    <w:div w:id="1584685462">
      <w:bodyDiv w:val="1"/>
      <w:marLeft w:val="0"/>
      <w:marRight w:val="0"/>
      <w:marTop w:val="0"/>
      <w:marBottom w:val="0"/>
      <w:divBdr>
        <w:top w:val="none" w:sz="0" w:space="0" w:color="auto"/>
        <w:left w:val="none" w:sz="0" w:space="0" w:color="auto"/>
        <w:bottom w:val="none" w:sz="0" w:space="0" w:color="auto"/>
        <w:right w:val="none" w:sz="0" w:space="0" w:color="auto"/>
      </w:divBdr>
    </w:div>
    <w:div w:id="1593736459">
      <w:bodyDiv w:val="1"/>
      <w:marLeft w:val="0"/>
      <w:marRight w:val="0"/>
      <w:marTop w:val="0"/>
      <w:marBottom w:val="0"/>
      <w:divBdr>
        <w:top w:val="none" w:sz="0" w:space="0" w:color="auto"/>
        <w:left w:val="none" w:sz="0" w:space="0" w:color="auto"/>
        <w:bottom w:val="none" w:sz="0" w:space="0" w:color="auto"/>
        <w:right w:val="none" w:sz="0" w:space="0" w:color="auto"/>
      </w:divBdr>
    </w:div>
    <w:div w:id="1600601326">
      <w:bodyDiv w:val="1"/>
      <w:marLeft w:val="0"/>
      <w:marRight w:val="0"/>
      <w:marTop w:val="0"/>
      <w:marBottom w:val="0"/>
      <w:divBdr>
        <w:top w:val="none" w:sz="0" w:space="0" w:color="auto"/>
        <w:left w:val="none" w:sz="0" w:space="0" w:color="auto"/>
        <w:bottom w:val="none" w:sz="0" w:space="0" w:color="auto"/>
        <w:right w:val="none" w:sz="0" w:space="0" w:color="auto"/>
      </w:divBdr>
    </w:div>
    <w:div w:id="1608539084">
      <w:bodyDiv w:val="1"/>
      <w:marLeft w:val="0"/>
      <w:marRight w:val="0"/>
      <w:marTop w:val="0"/>
      <w:marBottom w:val="0"/>
      <w:divBdr>
        <w:top w:val="none" w:sz="0" w:space="0" w:color="auto"/>
        <w:left w:val="none" w:sz="0" w:space="0" w:color="auto"/>
        <w:bottom w:val="none" w:sz="0" w:space="0" w:color="auto"/>
        <w:right w:val="none" w:sz="0" w:space="0" w:color="auto"/>
      </w:divBdr>
    </w:div>
    <w:div w:id="1608733641">
      <w:bodyDiv w:val="1"/>
      <w:marLeft w:val="0"/>
      <w:marRight w:val="0"/>
      <w:marTop w:val="0"/>
      <w:marBottom w:val="0"/>
      <w:divBdr>
        <w:top w:val="none" w:sz="0" w:space="0" w:color="auto"/>
        <w:left w:val="none" w:sz="0" w:space="0" w:color="auto"/>
        <w:bottom w:val="none" w:sz="0" w:space="0" w:color="auto"/>
        <w:right w:val="none" w:sz="0" w:space="0" w:color="auto"/>
      </w:divBdr>
    </w:div>
    <w:div w:id="1623343694">
      <w:bodyDiv w:val="1"/>
      <w:marLeft w:val="0"/>
      <w:marRight w:val="0"/>
      <w:marTop w:val="0"/>
      <w:marBottom w:val="0"/>
      <w:divBdr>
        <w:top w:val="none" w:sz="0" w:space="0" w:color="auto"/>
        <w:left w:val="none" w:sz="0" w:space="0" w:color="auto"/>
        <w:bottom w:val="none" w:sz="0" w:space="0" w:color="auto"/>
        <w:right w:val="none" w:sz="0" w:space="0" w:color="auto"/>
      </w:divBdr>
    </w:div>
    <w:div w:id="1631084092">
      <w:bodyDiv w:val="1"/>
      <w:marLeft w:val="0"/>
      <w:marRight w:val="0"/>
      <w:marTop w:val="0"/>
      <w:marBottom w:val="0"/>
      <w:divBdr>
        <w:top w:val="none" w:sz="0" w:space="0" w:color="auto"/>
        <w:left w:val="none" w:sz="0" w:space="0" w:color="auto"/>
        <w:bottom w:val="none" w:sz="0" w:space="0" w:color="auto"/>
        <w:right w:val="none" w:sz="0" w:space="0" w:color="auto"/>
      </w:divBdr>
    </w:div>
    <w:div w:id="1633050103">
      <w:bodyDiv w:val="1"/>
      <w:marLeft w:val="0"/>
      <w:marRight w:val="0"/>
      <w:marTop w:val="0"/>
      <w:marBottom w:val="0"/>
      <w:divBdr>
        <w:top w:val="none" w:sz="0" w:space="0" w:color="auto"/>
        <w:left w:val="none" w:sz="0" w:space="0" w:color="auto"/>
        <w:bottom w:val="none" w:sz="0" w:space="0" w:color="auto"/>
        <w:right w:val="none" w:sz="0" w:space="0" w:color="auto"/>
      </w:divBdr>
    </w:div>
    <w:div w:id="1638684726">
      <w:bodyDiv w:val="1"/>
      <w:marLeft w:val="0"/>
      <w:marRight w:val="0"/>
      <w:marTop w:val="0"/>
      <w:marBottom w:val="0"/>
      <w:divBdr>
        <w:top w:val="none" w:sz="0" w:space="0" w:color="auto"/>
        <w:left w:val="none" w:sz="0" w:space="0" w:color="auto"/>
        <w:bottom w:val="none" w:sz="0" w:space="0" w:color="auto"/>
        <w:right w:val="none" w:sz="0" w:space="0" w:color="auto"/>
      </w:divBdr>
    </w:div>
    <w:div w:id="1647393544">
      <w:bodyDiv w:val="1"/>
      <w:marLeft w:val="0"/>
      <w:marRight w:val="0"/>
      <w:marTop w:val="0"/>
      <w:marBottom w:val="0"/>
      <w:divBdr>
        <w:top w:val="none" w:sz="0" w:space="0" w:color="auto"/>
        <w:left w:val="none" w:sz="0" w:space="0" w:color="auto"/>
        <w:bottom w:val="none" w:sz="0" w:space="0" w:color="auto"/>
        <w:right w:val="none" w:sz="0" w:space="0" w:color="auto"/>
      </w:divBdr>
    </w:div>
    <w:div w:id="1653943603">
      <w:bodyDiv w:val="1"/>
      <w:marLeft w:val="0"/>
      <w:marRight w:val="0"/>
      <w:marTop w:val="0"/>
      <w:marBottom w:val="0"/>
      <w:divBdr>
        <w:top w:val="none" w:sz="0" w:space="0" w:color="auto"/>
        <w:left w:val="none" w:sz="0" w:space="0" w:color="auto"/>
        <w:bottom w:val="none" w:sz="0" w:space="0" w:color="auto"/>
        <w:right w:val="none" w:sz="0" w:space="0" w:color="auto"/>
      </w:divBdr>
    </w:div>
    <w:div w:id="1668627461">
      <w:bodyDiv w:val="1"/>
      <w:marLeft w:val="0"/>
      <w:marRight w:val="0"/>
      <w:marTop w:val="0"/>
      <w:marBottom w:val="0"/>
      <w:divBdr>
        <w:top w:val="none" w:sz="0" w:space="0" w:color="auto"/>
        <w:left w:val="none" w:sz="0" w:space="0" w:color="auto"/>
        <w:bottom w:val="none" w:sz="0" w:space="0" w:color="auto"/>
        <w:right w:val="none" w:sz="0" w:space="0" w:color="auto"/>
      </w:divBdr>
    </w:div>
    <w:div w:id="1668829547">
      <w:bodyDiv w:val="1"/>
      <w:marLeft w:val="0"/>
      <w:marRight w:val="0"/>
      <w:marTop w:val="0"/>
      <w:marBottom w:val="0"/>
      <w:divBdr>
        <w:top w:val="none" w:sz="0" w:space="0" w:color="auto"/>
        <w:left w:val="none" w:sz="0" w:space="0" w:color="auto"/>
        <w:bottom w:val="none" w:sz="0" w:space="0" w:color="auto"/>
        <w:right w:val="none" w:sz="0" w:space="0" w:color="auto"/>
      </w:divBdr>
    </w:div>
    <w:div w:id="1673529295">
      <w:bodyDiv w:val="1"/>
      <w:marLeft w:val="0"/>
      <w:marRight w:val="0"/>
      <w:marTop w:val="0"/>
      <w:marBottom w:val="0"/>
      <w:divBdr>
        <w:top w:val="none" w:sz="0" w:space="0" w:color="auto"/>
        <w:left w:val="none" w:sz="0" w:space="0" w:color="auto"/>
        <w:bottom w:val="none" w:sz="0" w:space="0" w:color="auto"/>
        <w:right w:val="none" w:sz="0" w:space="0" w:color="auto"/>
      </w:divBdr>
    </w:div>
    <w:div w:id="1685856997">
      <w:bodyDiv w:val="1"/>
      <w:marLeft w:val="0"/>
      <w:marRight w:val="0"/>
      <w:marTop w:val="0"/>
      <w:marBottom w:val="0"/>
      <w:divBdr>
        <w:top w:val="none" w:sz="0" w:space="0" w:color="auto"/>
        <w:left w:val="none" w:sz="0" w:space="0" w:color="auto"/>
        <w:bottom w:val="none" w:sz="0" w:space="0" w:color="auto"/>
        <w:right w:val="none" w:sz="0" w:space="0" w:color="auto"/>
      </w:divBdr>
    </w:div>
    <w:div w:id="1700543244">
      <w:bodyDiv w:val="1"/>
      <w:marLeft w:val="0"/>
      <w:marRight w:val="0"/>
      <w:marTop w:val="0"/>
      <w:marBottom w:val="0"/>
      <w:divBdr>
        <w:top w:val="none" w:sz="0" w:space="0" w:color="auto"/>
        <w:left w:val="none" w:sz="0" w:space="0" w:color="auto"/>
        <w:bottom w:val="none" w:sz="0" w:space="0" w:color="auto"/>
        <w:right w:val="none" w:sz="0" w:space="0" w:color="auto"/>
      </w:divBdr>
    </w:div>
    <w:div w:id="1701468468">
      <w:bodyDiv w:val="1"/>
      <w:marLeft w:val="0"/>
      <w:marRight w:val="0"/>
      <w:marTop w:val="0"/>
      <w:marBottom w:val="0"/>
      <w:divBdr>
        <w:top w:val="none" w:sz="0" w:space="0" w:color="auto"/>
        <w:left w:val="none" w:sz="0" w:space="0" w:color="auto"/>
        <w:bottom w:val="none" w:sz="0" w:space="0" w:color="auto"/>
        <w:right w:val="none" w:sz="0" w:space="0" w:color="auto"/>
      </w:divBdr>
    </w:div>
    <w:div w:id="1707438811">
      <w:bodyDiv w:val="1"/>
      <w:marLeft w:val="0"/>
      <w:marRight w:val="0"/>
      <w:marTop w:val="0"/>
      <w:marBottom w:val="0"/>
      <w:divBdr>
        <w:top w:val="none" w:sz="0" w:space="0" w:color="auto"/>
        <w:left w:val="none" w:sz="0" w:space="0" w:color="auto"/>
        <w:bottom w:val="none" w:sz="0" w:space="0" w:color="auto"/>
        <w:right w:val="none" w:sz="0" w:space="0" w:color="auto"/>
      </w:divBdr>
    </w:div>
    <w:div w:id="1707631577">
      <w:bodyDiv w:val="1"/>
      <w:marLeft w:val="0"/>
      <w:marRight w:val="0"/>
      <w:marTop w:val="0"/>
      <w:marBottom w:val="0"/>
      <w:divBdr>
        <w:top w:val="none" w:sz="0" w:space="0" w:color="auto"/>
        <w:left w:val="none" w:sz="0" w:space="0" w:color="auto"/>
        <w:bottom w:val="none" w:sz="0" w:space="0" w:color="auto"/>
        <w:right w:val="none" w:sz="0" w:space="0" w:color="auto"/>
      </w:divBdr>
    </w:div>
    <w:div w:id="1708406897">
      <w:bodyDiv w:val="1"/>
      <w:marLeft w:val="0"/>
      <w:marRight w:val="0"/>
      <w:marTop w:val="0"/>
      <w:marBottom w:val="0"/>
      <w:divBdr>
        <w:top w:val="none" w:sz="0" w:space="0" w:color="auto"/>
        <w:left w:val="none" w:sz="0" w:space="0" w:color="auto"/>
        <w:bottom w:val="none" w:sz="0" w:space="0" w:color="auto"/>
        <w:right w:val="none" w:sz="0" w:space="0" w:color="auto"/>
      </w:divBdr>
    </w:div>
    <w:div w:id="1711681942">
      <w:bodyDiv w:val="1"/>
      <w:marLeft w:val="0"/>
      <w:marRight w:val="0"/>
      <w:marTop w:val="0"/>
      <w:marBottom w:val="0"/>
      <w:divBdr>
        <w:top w:val="none" w:sz="0" w:space="0" w:color="auto"/>
        <w:left w:val="none" w:sz="0" w:space="0" w:color="auto"/>
        <w:bottom w:val="none" w:sz="0" w:space="0" w:color="auto"/>
        <w:right w:val="none" w:sz="0" w:space="0" w:color="auto"/>
      </w:divBdr>
    </w:div>
    <w:div w:id="1722703538">
      <w:bodyDiv w:val="1"/>
      <w:marLeft w:val="0"/>
      <w:marRight w:val="0"/>
      <w:marTop w:val="0"/>
      <w:marBottom w:val="0"/>
      <w:divBdr>
        <w:top w:val="none" w:sz="0" w:space="0" w:color="auto"/>
        <w:left w:val="none" w:sz="0" w:space="0" w:color="auto"/>
        <w:bottom w:val="none" w:sz="0" w:space="0" w:color="auto"/>
        <w:right w:val="none" w:sz="0" w:space="0" w:color="auto"/>
      </w:divBdr>
    </w:div>
    <w:div w:id="1723409953">
      <w:bodyDiv w:val="1"/>
      <w:marLeft w:val="0"/>
      <w:marRight w:val="0"/>
      <w:marTop w:val="0"/>
      <w:marBottom w:val="0"/>
      <w:divBdr>
        <w:top w:val="none" w:sz="0" w:space="0" w:color="auto"/>
        <w:left w:val="none" w:sz="0" w:space="0" w:color="auto"/>
        <w:bottom w:val="none" w:sz="0" w:space="0" w:color="auto"/>
        <w:right w:val="none" w:sz="0" w:space="0" w:color="auto"/>
      </w:divBdr>
    </w:div>
    <w:div w:id="1733037759">
      <w:bodyDiv w:val="1"/>
      <w:marLeft w:val="0"/>
      <w:marRight w:val="0"/>
      <w:marTop w:val="0"/>
      <w:marBottom w:val="0"/>
      <w:divBdr>
        <w:top w:val="none" w:sz="0" w:space="0" w:color="auto"/>
        <w:left w:val="none" w:sz="0" w:space="0" w:color="auto"/>
        <w:bottom w:val="none" w:sz="0" w:space="0" w:color="auto"/>
        <w:right w:val="none" w:sz="0" w:space="0" w:color="auto"/>
      </w:divBdr>
    </w:div>
    <w:div w:id="1733886848">
      <w:bodyDiv w:val="1"/>
      <w:marLeft w:val="0"/>
      <w:marRight w:val="0"/>
      <w:marTop w:val="0"/>
      <w:marBottom w:val="0"/>
      <w:divBdr>
        <w:top w:val="none" w:sz="0" w:space="0" w:color="auto"/>
        <w:left w:val="none" w:sz="0" w:space="0" w:color="auto"/>
        <w:bottom w:val="none" w:sz="0" w:space="0" w:color="auto"/>
        <w:right w:val="none" w:sz="0" w:space="0" w:color="auto"/>
      </w:divBdr>
    </w:div>
    <w:div w:id="1738629770">
      <w:bodyDiv w:val="1"/>
      <w:marLeft w:val="0"/>
      <w:marRight w:val="0"/>
      <w:marTop w:val="0"/>
      <w:marBottom w:val="0"/>
      <w:divBdr>
        <w:top w:val="none" w:sz="0" w:space="0" w:color="auto"/>
        <w:left w:val="none" w:sz="0" w:space="0" w:color="auto"/>
        <w:bottom w:val="none" w:sz="0" w:space="0" w:color="auto"/>
        <w:right w:val="none" w:sz="0" w:space="0" w:color="auto"/>
      </w:divBdr>
      <w:divsChild>
        <w:div w:id="1006858107">
          <w:marLeft w:val="0"/>
          <w:marRight w:val="0"/>
          <w:marTop w:val="0"/>
          <w:marBottom w:val="0"/>
          <w:divBdr>
            <w:top w:val="none" w:sz="0" w:space="0" w:color="auto"/>
            <w:left w:val="none" w:sz="0" w:space="0" w:color="auto"/>
            <w:bottom w:val="none" w:sz="0" w:space="0" w:color="auto"/>
            <w:right w:val="none" w:sz="0" w:space="0" w:color="auto"/>
          </w:divBdr>
        </w:div>
        <w:div w:id="1133795864">
          <w:marLeft w:val="0"/>
          <w:marRight w:val="0"/>
          <w:marTop w:val="0"/>
          <w:marBottom w:val="0"/>
          <w:divBdr>
            <w:top w:val="none" w:sz="0" w:space="0" w:color="auto"/>
            <w:left w:val="none" w:sz="0" w:space="0" w:color="auto"/>
            <w:bottom w:val="none" w:sz="0" w:space="0" w:color="auto"/>
            <w:right w:val="none" w:sz="0" w:space="0" w:color="auto"/>
          </w:divBdr>
        </w:div>
        <w:div w:id="1689678882">
          <w:marLeft w:val="0"/>
          <w:marRight w:val="0"/>
          <w:marTop w:val="0"/>
          <w:marBottom w:val="0"/>
          <w:divBdr>
            <w:top w:val="none" w:sz="0" w:space="0" w:color="auto"/>
            <w:left w:val="none" w:sz="0" w:space="0" w:color="auto"/>
            <w:bottom w:val="none" w:sz="0" w:space="0" w:color="auto"/>
            <w:right w:val="none" w:sz="0" w:space="0" w:color="auto"/>
          </w:divBdr>
        </w:div>
        <w:div w:id="2119331409">
          <w:marLeft w:val="0"/>
          <w:marRight w:val="0"/>
          <w:marTop w:val="0"/>
          <w:marBottom w:val="0"/>
          <w:divBdr>
            <w:top w:val="none" w:sz="0" w:space="0" w:color="auto"/>
            <w:left w:val="none" w:sz="0" w:space="0" w:color="auto"/>
            <w:bottom w:val="none" w:sz="0" w:space="0" w:color="auto"/>
            <w:right w:val="none" w:sz="0" w:space="0" w:color="auto"/>
          </w:divBdr>
        </w:div>
      </w:divsChild>
    </w:div>
    <w:div w:id="1755589848">
      <w:bodyDiv w:val="1"/>
      <w:marLeft w:val="0"/>
      <w:marRight w:val="0"/>
      <w:marTop w:val="0"/>
      <w:marBottom w:val="0"/>
      <w:divBdr>
        <w:top w:val="none" w:sz="0" w:space="0" w:color="auto"/>
        <w:left w:val="none" w:sz="0" w:space="0" w:color="auto"/>
        <w:bottom w:val="none" w:sz="0" w:space="0" w:color="auto"/>
        <w:right w:val="none" w:sz="0" w:space="0" w:color="auto"/>
      </w:divBdr>
    </w:div>
    <w:div w:id="1757827759">
      <w:bodyDiv w:val="1"/>
      <w:marLeft w:val="0"/>
      <w:marRight w:val="0"/>
      <w:marTop w:val="0"/>
      <w:marBottom w:val="0"/>
      <w:divBdr>
        <w:top w:val="none" w:sz="0" w:space="0" w:color="auto"/>
        <w:left w:val="none" w:sz="0" w:space="0" w:color="auto"/>
        <w:bottom w:val="none" w:sz="0" w:space="0" w:color="auto"/>
        <w:right w:val="none" w:sz="0" w:space="0" w:color="auto"/>
      </w:divBdr>
    </w:div>
    <w:div w:id="1758675011">
      <w:bodyDiv w:val="1"/>
      <w:marLeft w:val="0"/>
      <w:marRight w:val="0"/>
      <w:marTop w:val="0"/>
      <w:marBottom w:val="0"/>
      <w:divBdr>
        <w:top w:val="none" w:sz="0" w:space="0" w:color="auto"/>
        <w:left w:val="none" w:sz="0" w:space="0" w:color="auto"/>
        <w:bottom w:val="none" w:sz="0" w:space="0" w:color="auto"/>
        <w:right w:val="none" w:sz="0" w:space="0" w:color="auto"/>
      </w:divBdr>
    </w:div>
    <w:div w:id="1773819278">
      <w:bodyDiv w:val="1"/>
      <w:marLeft w:val="0"/>
      <w:marRight w:val="0"/>
      <w:marTop w:val="0"/>
      <w:marBottom w:val="0"/>
      <w:divBdr>
        <w:top w:val="none" w:sz="0" w:space="0" w:color="auto"/>
        <w:left w:val="none" w:sz="0" w:space="0" w:color="auto"/>
        <w:bottom w:val="none" w:sz="0" w:space="0" w:color="auto"/>
        <w:right w:val="none" w:sz="0" w:space="0" w:color="auto"/>
      </w:divBdr>
    </w:div>
    <w:div w:id="1775636878">
      <w:bodyDiv w:val="1"/>
      <w:marLeft w:val="0"/>
      <w:marRight w:val="0"/>
      <w:marTop w:val="0"/>
      <w:marBottom w:val="0"/>
      <w:divBdr>
        <w:top w:val="none" w:sz="0" w:space="0" w:color="auto"/>
        <w:left w:val="none" w:sz="0" w:space="0" w:color="auto"/>
        <w:bottom w:val="none" w:sz="0" w:space="0" w:color="auto"/>
        <w:right w:val="none" w:sz="0" w:space="0" w:color="auto"/>
      </w:divBdr>
    </w:div>
    <w:div w:id="1779830117">
      <w:bodyDiv w:val="1"/>
      <w:marLeft w:val="0"/>
      <w:marRight w:val="0"/>
      <w:marTop w:val="0"/>
      <w:marBottom w:val="0"/>
      <w:divBdr>
        <w:top w:val="none" w:sz="0" w:space="0" w:color="auto"/>
        <w:left w:val="none" w:sz="0" w:space="0" w:color="auto"/>
        <w:bottom w:val="none" w:sz="0" w:space="0" w:color="auto"/>
        <w:right w:val="none" w:sz="0" w:space="0" w:color="auto"/>
      </w:divBdr>
    </w:div>
    <w:div w:id="1782914733">
      <w:bodyDiv w:val="1"/>
      <w:marLeft w:val="0"/>
      <w:marRight w:val="0"/>
      <w:marTop w:val="0"/>
      <w:marBottom w:val="0"/>
      <w:divBdr>
        <w:top w:val="none" w:sz="0" w:space="0" w:color="auto"/>
        <w:left w:val="none" w:sz="0" w:space="0" w:color="auto"/>
        <w:bottom w:val="none" w:sz="0" w:space="0" w:color="auto"/>
        <w:right w:val="none" w:sz="0" w:space="0" w:color="auto"/>
      </w:divBdr>
    </w:div>
    <w:div w:id="1791391518">
      <w:bodyDiv w:val="1"/>
      <w:marLeft w:val="0"/>
      <w:marRight w:val="0"/>
      <w:marTop w:val="0"/>
      <w:marBottom w:val="0"/>
      <w:divBdr>
        <w:top w:val="none" w:sz="0" w:space="0" w:color="auto"/>
        <w:left w:val="none" w:sz="0" w:space="0" w:color="auto"/>
        <w:bottom w:val="none" w:sz="0" w:space="0" w:color="auto"/>
        <w:right w:val="none" w:sz="0" w:space="0" w:color="auto"/>
      </w:divBdr>
    </w:div>
    <w:div w:id="1792359742">
      <w:bodyDiv w:val="1"/>
      <w:marLeft w:val="0"/>
      <w:marRight w:val="0"/>
      <w:marTop w:val="0"/>
      <w:marBottom w:val="0"/>
      <w:divBdr>
        <w:top w:val="none" w:sz="0" w:space="0" w:color="auto"/>
        <w:left w:val="none" w:sz="0" w:space="0" w:color="auto"/>
        <w:bottom w:val="none" w:sz="0" w:space="0" w:color="auto"/>
        <w:right w:val="none" w:sz="0" w:space="0" w:color="auto"/>
      </w:divBdr>
    </w:div>
    <w:div w:id="1794860286">
      <w:bodyDiv w:val="1"/>
      <w:marLeft w:val="0"/>
      <w:marRight w:val="0"/>
      <w:marTop w:val="0"/>
      <w:marBottom w:val="0"/>
      <w:divBdr>
        <w:top w:val="none" w:sz="0" w:space="0" w:color="auto"/>
        <w:left w:val="none" w:sz="0" w:space="0" w:color="auto"/>
        <w:bottom w:val="none" w:sz="0" w:space="0" w:color="auto"/>
        <w:right w:val="none" w:sz="0" w:space="0" w:color="auto"/>
      </w:divBdr>
    </w:div>
    <w:div w:id="1799060733">
      <w:bodyDiv w:val="1"/>
      <w:marLeft w:val="0"/>
      <w:marRight w:val="0"/>
      <w:marTop w:val="0"/>
      <w:marBottom w:val="0"/>
      <w:divBdr>
        <w:top w:val="none" w:sz="0" w:space="0" w:color="auto"/>
        <w:left w:val="none" w:sz="0" w:space="0" w:color="auto"/>
        <w:bottom w:val="none" w:sz="0" w:space="0" w:color="auto"/>
        <w:right w:val="none" w:sz="0" w:space="0" w:color="auto"/>
      </w:divBdr>
    </w:div>
    <w:div w:id="1805537195">
      <w:bodyDiv w:val="1"/>
      <w:marLeft w:val="0"/>
      <w:marRight w:val="0"/>
      <w:marTop w:val="0"/>
      <w:marBottom w:val="0"/>
      <w:divBdr>
        <w:top w:val="none" w:sz="0" w:space="0" w:color="auto"/>
        <w:left w:val="none" w:sz="0" w:space="0" w:color="auto"/>
        <w:bottom w:val="none" w:sz="0" w:space="0" w:color="auto"/>
        <w:right w:val="none" w:sz="0" w:space="0" w:color="auto"/>
      </w:divBdr>
    </w:div>
    <w:div w:id="1806895011">
      <w:bodyDiv w:val="1"/>
      <w:marLeft w:val="0"/>
      <w:marRight w:val="0"/>
      <w:marTop w:val="0"/>
      <w:marBottom w:val="0"/>
      <w:divBdr>
        <w:top w:val="none" w:sz="0" w:space="0" w:color="auto"/>
        <w:left w:val="none" w:sz="0" w:space="0" w:color="auto"/>
        <w:bottom w:val="none" w:sz="0" w:space="0" w:color="auto"/>
        <w:right w:val="none" w:sz="0" w:space="0" w:color="auto"/>
      </w:divBdr>
    </w:div>
    <w:div w:id="1809975378">
      <w:bodyDiv w:val="1"/>
      <w:marLeft w:val="0"/>
      <w:marRight w:val="0"/>
      <w:marTop w:val="0"/>
      <w:marBottom w:val="0"/>
      <w:divBdr>
        <w:top w:val="none" w:sz="0" w:space="0" w:color="auto"/>
        <w:left w:val="none" w:sz="0" w:space="0" w:color="auto"/>
        <w:bottom w:val="none" w:sz="0" w:space="0" w:color="auto"/>
        <w:right w:val="none" w:sz="0" w:space="0" w:color="auto"/>
      </w:divBdr>
    </w:div>
    <w:div w:id="1811022308">
      <w:bodyDiv w:val="1"/>
      <w:marLeft w:val="0"/>
      <w:marRight w:val="0"/>
      <w:marTop w:val="0"/>
      <w:marBottom w:val="0"/>
      <w:divBdr>
        <w:top w:val="none" w:sz="0" w:space="0" w:color="auto"/>
        <w:left w:val="none" w:sz="0" w:space="0" w:color="auto"/>
        <w:bottom w:val="none" w:sz="0" w:space="0" w:color="auto"/>
        <w:right w:val="none" w:sz="0" w:space="0" w:color="auto"/>
      </w:divBdr>
    </w:div>
    <w:div w:id="1820077161">
      <w:bodyDiv w:val="1"/>
      <w:marLeft w:val="0"/>
      <w:marRight w:val="0"/>
      <w:marTop w:val="0"/>
      <w:marBottom w:val="0"/>
      <w:divBdr>
        <w:top w:val="none" w:sz="0" w:space="0" w:color="auto"/>
        <w:left w:val="none" w:sz="0" w:space="0" w:color="auto"/>
        <w:bottom w:val="none" w:sz="0" w:space="0" w:color="auto"/>
        <w:right w:val="none" w:sz="0" w:space="0" w:color="auto"/>
      </w:divBdr>
    </w:div>
    <w:div w:id="1827090114">
      <w:bodyDiv w:val="1"/>
      <w:marLeft w:val="0"/>
      <w:marRight w:val="0"/>
      <w:marTop w:val="0"/>
      <w:marBottom w:val="0"/>
      <w:divBdr>
        <w:top w:val="none" w:sz="0" w:space="0" w:color="auto"/>
        <w:left w:val="none" w:sz="0" w:space="0" w:color="auto"/>
        <w:bottom w:val="none" w:sz="0" w:space="0" w:color="auto"/>
        <w:right w:val="none" w:sz="0" w:space="0" w:color="auto"/>
      </w:divBdr>
    </w:div>
    <w:div w:id="1829052000">
      <w:bodyDiv w:val="1"/>
      <w:marLeft w:val="0"/>
      <w:marRight w:val="0"/>
      <w:marTop w:val="0"/>
      <w:marBottom w:val="0"/>
      <w:divBdr>
        <w:top w:val="none" w:sz="0" w:space="0" w:color="auto"/>
        <w:left w:val="none" w:sz="0" w:space="0" w:color="auto"/>
        <w:bottom w:val="none" w:sz="0" w:space="0" w:color="auto"/>
        <w:right w:val="none" w:sz="0" w:space="0" w:color="auto"/>
      </w:divBdr>
    </w:div>
    <w:div w:id="1841196312">
      <w:bodyDiv w:val="1"/>
      <w:marLeft w:val="0"/>
      <w:marRight w:val="0"/>
      <w:marTop w:val="0"/>
      <w:marBottom w:val="0"/>
      <w:divBdr>
        <w:top w:val="none" w:sz="0" w:space="0" w:color="auto"/>
        <w:left w:val="none" w:sz="0" w:space="0" w:color="auto"/>
        <w:bottom w:val="none" w:sz="0" w:space="0" w:color="auto"/>
        <w:right w:val="none" w:sz="0" w:space="0" w:color="auto"/>
      </w:divBdr>
    </w:div>
    <w:div w:id="1841777725">
      <w:bodyDiv w:val="1"/>
      <w:marLeft w:val="0"/>
      <w:marRight w:val="0"/>
      <w:marTop w:val="0"/>
      <w:marBottom w:val="0"/>
      <w:divBdr>
        <w:top w:val="none" w:sz="0" w:space="0" w:color="auto"/>
        <w:left w:val="none" w:sz="0" w:space="0" w:color="auto"/>
        <w:bottom w:val="none" w:sz="0" w:space="0" w:color="auto"/>
        <w:right w:val="none" w:sz="0" w:space="0" w:color="auto"/>
      </w:divBdr>
      <w:divsChild>
        <w:div w:id="652294303">
          <w:marLeft w:val="907"/>
          <w:marRight w:val="0"/>
          <w:marTop w:val="58"/>
          <w:marBottom w:val="0"/>
          <w:divBdr>
            <w:top w:val="none" w:sz="0" w:space="0" w:color="auto"/>
            <w:left w:val="none" w:sz="0" w:space="0" w:color="auto"/>
            <w:bottom w:val="none" w:sz="0" w:space="0" w:color="auto"/>
            <w:right w:val="none" w:sz="0" w:space="0" w:color="auto"/>
          </w:divBdr>
        </w:div>
        <w:div w:id="717509632">
          <w:marLeft w:val="907"/>
          <w:marRight w:val="0"/>
          <w:marTop w:val="58"/>
          <w:marBottom w:val="0"/>
          <w:divBdr>
            <w:top w:val="none" w:sz="0" w:space="0" w:color="auto"/>
            <w:left w:val="none" w:sz="0" w:space="0" w:color="auto"/>
            <w:bottom w:val="none" w:sz="0" w:space="0" w:color="auto"/>
            <w:right w:val="none" w:sz="0" w:space="0" w:color="auto"/>
          </w:divBdr>
        </w:div>
        <w:div w:id="815219488">
          <w:marLeft w:val="907"/>
          <w:marRight w:val="0"/>
          <w:marTop w:val="58"/>
          <w:marBottom w:val="0"/>
          <w:divBdr>
            <w:top w:val="none" w:sz="0" w:space="0" w:color="auto"/>
            <w:left w:val="none" w:sz="0" w:space="0" w:color="auto"/>
            <w:bottom w:val="none" w:sz="0" w:space="0" w:color="auto"/>
            <w:right w:val="none" w:sz="0" w:space="0" w:color="auto"/>
          </w:divBdr>
        </w:div>
        <w:div w:id="1226381527">
          <w:marLeft w:val="907"/>
          <w:marRight w:val="0"/>
          <w:marTop w:val="58"/>
          <w:marBottom w:val="0"/>
          <w:divBdr>
            <w:top w:val="none" w:sz="0" w:space="0" w:color="auto"/>
            <w:left w:val="none" w:sz="0" w:space="0" w:color="auto"/>
            <w:bottom w:val="none" w:sz="0" w:space="0" w:color="auto"/>
            <w:right w:val="none" w:sz="0" w:space="0" w:color="auto"/>
          </w:divBdr>
        </w:div>
        <w:div w:id="1484587116">
          <w:marLeft w:val="907"/>
          <w:marRight w:val="0"/>
          <w:marTop w:val="58"/>
          <w:marBottom w:val="0"/>
          <w:divBdr>
            <w:top w:val="none" w:sz="0" w:space="0" w:color="auto"/>
            <w:left w:val="none" w:sz="0" w:space="0" w:color="auto"/>
            <w:bottom w:val="none" w:sz="0" w:space="0" w:color="auto"/>
            <w:right w:val="none" w:sz="0" w:space="0" w:color="auto"/>
          </w:divBdr>
        </w:div>
        <w:div w:id="1931503369">
          <w:marLeft w:val="907"/>
          <w:marRight w:val="0"/>
          <w:marTop w:val="58"/>
          <w:marBottom w:val="0"/>
          <w:divBdr>
            <w:top w:val="none" w:sz="0" w:space="0" w:color="auto"/>
            <w:left w:val="none" w:sz="0" w:space="0" w:color="auto"/>
            <w:bottom w:val="none" w:sz="0" w:space="0" w:color="auto"/>
            <w:right w:val="none" w:sz="0" w:space="0" w:color="auto"/>
          </w:divBdr>
        </w:div>
      </w:divsChild>
    </w:div>
    <w:div w:id="1845973850">
      <w:bodyDiv w:val="1"/>
      <w:marLeft w:val="0"/>
      <w:marRight w:val="0"/>
      <w:marTop w:val="0"/>
      <w:marBottom w:val="0"/>
      <w:divBdr>
        <w:top w:val="none" w:sz="0" w:space="0" w:color="auto"/>
        <w:left w:val="none" w:sz="0" w:space="0" w:color="auto"/>
        <w:bottom w:val="none" w:sz="0" w:space="0" w:color="auto"/>
        <w:right w:val="none" w:sz="0" w:space="0" w:color="auto"/>
      </w:divBdr>
    </w:div>
    <w:div w:id="1851984937">
      <w:bodyDiv w:val="1"/>
      <w:marLeft w:val="0"/>
      <w:marRight w:val="0"/>
      <w:marTop w:val="0"/>
      <w:marBottom w:val="0"/>
      <w:divBdr>
        <w:top w:val="none" w:sz="0" w:space="0" w:color="auto"/>
        <w:left w:val="none" w:sz="0" w:space="0" w:color="auto"/>
        <w:bottom w:val="none" w:sz="0" w:space="0" w:color="auto"/>
        <w:right w:val="none" w:sz="0" w:space="0" w:color="auto"/>
      </w:divBdr>
    </w:div>
    <w:div w:id="1855151365">
      <w:bodyDiv w:val="1"/>
      <w:marLeft w:val="0"/>
      <w:marRight w:val="0"/>
      <w:marTop w:val="0"/>
      <w:marBottom w:val="0"/>
      <w:divBdr>
        <w:top w:val="none" w:sz="0" w:space="0" w:color="auto"/>
        <w:left w:val="none" w:sz="0" w:space="0" w:color="auto"/>
        <w:bottom w:val="none" w:sz="0" w:space="0" w:color="auto"/>
        <w:right w:val="none" w:sz="0" w:space="0" w:color="auto"/>
      </w:divBdr>
    </w:div>
    <w:div w:id="1855849481">
      <w:bodyDiv w:val="1"/>
      <w:marLeft w:val="0"/>
      <w:marRight w:val="0"/>
      <w:marTop w:val="0"/>
      <w:marBottom w:val="0"/>
      <w:divBdr>
        <w:top w:val="none" w:sz="0" w:space="0" w:color="auto"/>
        <w:left w:val="none" w:sz="0" w:space="0" w:color="auto"/>
        <w:bottom w:val="none" w:sz="0" w:space="0" w:color="auto"/>
        <w:right w:val="none" w:sz="0" w:space="0" w:color="auto"/>
      </w:divBdr>
    </w:div>
    <w:div w:id="1872105857">
      <w:bodyDiv w:val="1"/>
      <w:marLeft w:val="0"/>
      <w:marRight w:val="0"/>
      <w:marTop w:val="0"/>
      <w:marBottom w:val="0"/>
      <w:divBdr>
        <w:top w:val="none" w:sz="0" w:space="0" w:color="auto"/>
        <w:left w:val="none" w:sz="0" w:space="0" w:color="auto"/>
        <w:bottom w:val="none" w:sz="0" w:space="0" w:color="auto"/>
        <w:right w:val="none" w:sz="0" w:space="0" w:color="auto"/>
      </w:divBdr>
    </w:div>
    <w:div w:id="1874614559">
      <w:bodyDiv w:val="1"/>
      <w:marLeft w:val="0"/>
      <w:marRight w:val="0"/>
      <w:marTop w:val="0"/>
      <w:marBottom w:val="0"/>
      <w:divBdr>
        <w:top w:val="none" w:sz="0" w:space="0" w:color="auto"/>
        <w:left w:val="none" w:sz="0" w:space="0" w:color="auto"/>
        <w:bottom w:val="none" w:sz="0" w:space="0" w:color="auto"/>
        <w:right w:val="none" w:sz="0" w:space="0" w:color="auto"/>
      </w:divBdr>
    </w:div>
    <w:div w:id="1883319977">
      <w:bodyDiv w:val="1"/>
      <w:marLeft w:val="0"/>
      <w:marRight w:val="0"/>
      <w:marTop w:val="0"/>
      <w:marBottom w:val="0"/>
      <w:divBdr>
        <w:top w:val="none" w:sz="0" w:space="0" w:color="auto"/>
        <w:left w:val="none" w:sz="0" w:space="0" w:color="auto"/>
        <w:bottom w:val="none" w:sz="0" w:space="0" w:color="auto"/>
        <w:right w:val="none" w:sz="0" w:space="0" w:color="auto"/>
      </w:divBdr>
    </w:div>
    <w:div w:id="1888298479">
      <w:bodyDiv w:val="1"/>
      <w:marLeft w:val="0"/>
      <w:marRight w:val="0"/>
      <w:marTop w:val="0"/>
      <w:marBottom w:val="0"/>
      <w:divBdr>
        <w:top w:val="none" w:sz="0" w:space="0" w:color="auto"/>
        <w:left w:val="none" w:sz="0" w:space="0" w:color="auto"/>
        <w:bottom w:val="none" w:sz="0" w:space="0" w:color="auto"/>
        <w:right w:val="none" w:sz="0" w:space="0" w:color="auto"/>
      </w:divBdr>
    </w:div>
    <w:div w:id="1895195094">
      <w:bodyDiv w:val="1"/>
      <w:marLeft w:val="0"/>
      <w:marRight w:val="0"/>
      <w:marTop w:val="0"/>
      <w:marBottom w:val="0"/>
      <w:divBdr>
        <w:top w:val="none" w:sz="0" w:space="0" w:color="auto"/>
        <w:left w:val="none" w:sz="0" w:space="0" w:color="auto"/>
        <w:bottom w:val="none" w:sz="0" w:space="0" w:color="auto"/>
        <w:right w:val="none" w:sz="0" w:space="0" w:color="auto"/>
      </w:divBdr>
    </w:div>
    <w:div w:id="1895894598">
      <w:bodyDiv w:val="1"/>
      <w:marLeft w:val="0"/>
      <w:marRight w:val="0"/>
      <w:marTop w:val="0"/>
      <w:marBottom w:val="0"/>
      <w:divBdr>
        <w:top w:val="none" w:sz="0" w:space="0" w:color="auto"/>
        <w:left w:val="none" w:sz="0" w:space="0" w:color="auto"/>
        <w:bottom w:val="none" w:sz="0" w:space="0" w:color="auto"/>
        <w:right w:val="none" w:sz="0" w:space="0" w:color="auto"/>
      </w:divBdr>
    </w:div>
    <w:div w:id="1898083510">
      <w:bodyDiv w:val="1"/>
      <w:marLeft w:val="0"/>
      <w:marRight w:val="0"/>
      <w:marTop w:val="0"/>
      <w:marBottom w:val="0"/>
      <w:divBdr>
        <w:top w:val="none" w:sz="0" w:space="0" w:color="auto"/>
        <w:left w:val="none" w:sz="0" w:space="0" w:color="auto"/>
        <w:bottom w:val="none" w:sz="0" w:space="0" w:color="auto"/>
        <w:right w:val="none" w:sz="0" w:space="0" w:color="auto"/>
      </w:divBdr>
    </w:div>
    <w:div w:id="1898348163">
      <w:bodyDiv w:val="1"/>
      <w:marLeft w:val="0"/>
      <w:marRight w:val="0"/>
      <w:marTop w:val="0"/>
      <w:marBottom w:val="0"/>
      <w:divBdr>
        <w:top w:val="none" w:sz="0" w:space="0" w:color="auto"/>
        <w:left w:val="none" w:sz="0" w:space="0" w:color="auto"/>
        <w:bottom w:val="none" w:sz="0" w:space="0" w:color="auto"/>
        <w:right w:val="none" w:sz="0" w:space="0" w:color="auto"/>
      </w:divBdr>
    </w:div>
    <w:div w:id="1906795327">
      <w:bodyDiv w:val="1"/>
      <w:marLeft w:val="0"/>
      <w:marRight w:val="0"/>
      <w:marTop w:val="0"/>
      <w:marBottom w:val="0"/>
      <w:divBdr>
        <w:top w:val="none" w:sz="0" w:space="0" w:color="auto"/>
        <w:left w:val="none" w:sz="0" w:space="0" w:color="auto"/>
        <w:bottom w:val="none" w:sz="0" w:space="0" w:color="auto"/>
        <w:right w:val="none" w:sz="0" w:space="0" w:color="auto"/>
      </w:divBdr>
    </w:div>
    <w:div w:id="1912422169">
      <w:bodyDiv w:val="1"/>
      <w:marLeft w:val="0"/>
      <w:marRight w:val="0"/>
      <w:marTop w:val="0"/>
      <w:marBottom w:val="0"/>
      <w:divBdr>
        <w:top w:val="none" w:sz="0" w:space="0" w:color="auto"/>
        <w:left w:val="none" w:sz="0" w:space="0" w:color="auto"/>
        <w:bottom w:val="none" w:sz="0" w:space="0" w:color="auto"/>
        <w:right w:val="none" w:sz="0" w:space="0" w:color="auto"/>
      </w:divBdr>
    </w:div>
    <w:div w:id="1921283874">
      <w:bodyDiv w:val="1"/>
      <w:marLeft w:val="0"/>
      <w:marRight w:val="0"/>
      <w:marTop w:val="0"/>
      <w:marBottom w:val="0"/>
      <w:divBdr>
        <w:top w:val="none" w:sz="0" w:space="0" w:color="auto"/>
        <w:left w:val="none" w:sz="0" w:space="0" w:color="auto"/>
        <w:bottom w:val="none" w:sz="0" w:space="0" w:color="auto"/>
        <w:right w:val="none" w:sz="0" w:space="0" w:color="auto"/>
      </w:divBdr>
    </w:div>
    <w:div w:id="1922791321">
      <w:bodyDiv w:val="1"/>
      <w:marLeft w:val="0"/>
      <w:marRight w:val="0"/>
      <w:marTop w:val="0"/>
      <w:marBottom w:val="0"/>
      <w:divBdr>
        <w:top w:val="none" w:sz="0" w:space="0" w:color="auto"/>
        <w:left w:val="none" w:sz="0" w:space="0" w:color="auto"/>
        <w:bottom w:val="none" w:sz="0" w:space="0" w:color="auto"/>
        <w:right w:val="none" w:sz="0" w:space="0" w:color="auto"/>
      </w:divBdr>
    </w:div>
    <w:div w:id="1924533928">
      <w:bodyDiv w:val="1"/>
      <w:marLeft w:val="0"/>
      <w:marRight w:val="0"/>
      <w:marTop w:val="0"/>
      <w:marBottom w:val="0"/>
      <w:divBdr>
        <w:top w:val="none" w:sz="0" w:space="0" w:color="auto"/>
        <w:left w:val="none" w:sz="0" w:space="0" w:color="auto"/>
        <w:bottom w:val="none" w:sz="0" w:space="0" w:color="auto"/>
        <w:right w:val="none" w:sz="0" w:space="0" w:color="auto"/>
      </w:divBdr>
    </w:div>
    <w:div w:id="1925993340">
      <w:bodyDiv w:val="1"/>
      <w:marLeft w:val="0"/>
      <w:marRight w:val="0"/>
      <w:marTop w:val="0"/>
      <w:marBottom w:val="0"/>
      <w:divBdr>
        <w:top w:val="none" w:sz="0" w:space="0" w:color="auto"/>
        <w:left w:val="none" w:sz="0" w:space="0" w:color="auto"/>
        <w:bottom w:val="none" w:sz="0" w:space="0" w:color="auto"/>
        <w:right w:val="none" w:sz="0" w:space="0" w:color="auto"/>
      </w:divBdr>
    </w:div>
    <w:div w:id="1933732942">
      <w:bodyDiv w:val="1"/>
      <w:marLeft w:val="0"/>
      <w:marRight w:val="0"/>
      <w:marTop w:val="0"/>
      <w:marBottom w:val="0"/>
      <w:divBdr>
        <w:top w:val="none" w:sz="0" w:space="0" w:color="auto"/>
        <w:left w:val="none" w:sz="0" w:space="0" w:color="auto"/>
        <w:bottom w:val="none" w:sz="0" w:space="0" w:color="auto"/>
        <w:right w:val="none" w:sz="0" w:space="0" w:color="auto"/>
      </w:divBdr>
    </w:div>
    <w:div w:id="1935673330">
      <w:bodyDiv w:val="1"/>
      <w:marLeft w:val="0"/>
      <w:marRight w:val="0"/>
      <w:marTop w:val="0"/>
      <w:marBottom w:val="0"/>
      <w:divBdr>
        <w:top w:val="none" w:sz="0" w:space="0" w:color="auto"/>
        <w:left w:val="none" w:sz="0" w:space="0" w:color="auto"/>
        <w:bottom w:val="none" w:sz="0" w:space="0" w:color="auto"/>
        <w:right w:val="none" w:sz="0" w:space="0" w:color="auto"/>
      </w:divBdr>
    </w:div>
    <w:div w:id="1935895154">
      <w:bodyDiv w:val="1"/>
      <w:marLeft w:val="0"/>
      <w:marRight w:val="0"/>
      <w:marTop w:val="0"/>
      <w:marBottom w:val="0"/>
      <w:divBdr>
        <w:top w:val="none" w:sz="0" w:space="0" w:color="auto"/>
        <w:left w:val="none" w:sz="0" w:space="0" w:color="auto"/>
        <w:bottom w:val="none" w:sz="0" w:space="0" w:color="auto"/>
        <w:right w:val="none" w:sz="0" w:space="0" w:color="auto"/>
      </w:divBdr>
    </w:div>
    <w:div w:id="1936130493">
      <w:bodyDiv w:val="1"/>
      <w:marLeft w:val="0"/>
      <w:marRight w:val="0"/>
      <w:marTop w:val="0"/>
      <w:marBottom w:val="0"/>
      <w:divBdr>
        <w:top w:val="none" w:sz="0" w:space="0" w:color="auto"/>
        <w:left w:val="none" w:sz="0" w:space="0" w:color="auto"/>
        <w:bottom w:val="none" w:sz="0" w:space="0" w:color="auto"/>
        <w:right w:val="none" w:sz="0" w:space="0" w:color="auto"/>
      </w:divBdr>
    </w:div>
    <w:div w:id="1940407645">
      <w:bodyDiv w:val="1"/>
      <w:marLeft w:val="0"/>
      <w:marRight w:val="0"/>
      <w:marTop w:val="0"/>
      <w:marBottom w:val="0"/>
      <w:divBdr>
        <w:top w:val="none" w:sz="0" w:space="0" w:color="auto"/>
        <w:left w:val="none" w:sz="0" w:space="0" w:color="auto"/>
        <w:bottom w:val="none" w:sz="0" w:space="0" w:color="auto"/>
        <w:right w:val="none" w:sz="0" w:space="0" w:color="auto"/>
      </w:divBdr>
    </w:div>
    <w:div w:id="1947734528">
      <w:bodyDiv w:val="1"/>
      <w:marLeft w:val="0"/>
      <w:marRight w:val="0"/>
      <w:marTop w:val="0"/>
      <w:marBottom w:val="0"/>
      <w:divBdr>
        <w:top w:val="none" w:sz="0" w:space="0" w:color="auto"/>
        <w:left w:val="none" w:sz="0" w:space="0" w:color="auto"/>
        <w:bottom w:val="none" w:sz="0" w:space="0" w:color="auto"/>
        <w:right w:val="none" w:sz="0" w:space="0" w:color="auto"/>
      </w:divBdr>
    </w:div>
    <w:div w:id="1947734599">
      <w:bodyDiv w:val="1"/>
      <w:marLeft w:val="0"/>
      <w:marRight w:val="0"/>
      <w:marTop w:val="0"/>
      <w:marBottom w:val="0"/>
      <w:divBdr>
        <w:top w:val="none" w:sz="0" w:space="0" w:color="auto"/>
        <w:left w:val="none" w:sz="0" w:space="0" w:color="auto"/>
        <w:bottom w:val="none" w:sz="0" w:space="0" w:color="auto"/>
        <w:right w:val="none" w:sz="0" w:space="0" w:color="auto"/>
      </w:divBdr>
    </w:div>
    <w:div w:id="1953897443">
      <w:bodyDiv w:val="1"/>
      <w:marLeft w:val="0"/>
      <w:marRight w:val="0"/>
      <w:marTop w:val="0"/>
      <w:marBottom w:val="0"/>
      <w:divBdr>
        <w:top w:val="none" w:sz="0" w:space="0" w:color="auto"/>
        <w:left w:val="none" w:sz="0" w:space="0" w:color="auto"/>
        <w:bottom w:val="none" w:sz="0" w:space="0" w:color="auto"/>
        <w:right w:val="none" w:sz="0" w:space="0" w:color="auto"/>
      </w:divBdr>
    </w:div>
    <w:div w:id="1974020085">
      <w:bodyDiv w:val="1"/>
      <w:marLeft w:val="0"/>
      <w:marRight w:val="0"/>
      <w:marTop w:val="0"/>
      <w:marBottom w:val="0"/>
      <w:divBdr>
        <w:top w:val="none" w:sz="0" w:space="0" w:color="auto"/>
        <w:left w:val="none" w:sz="0" w:space="0" w:color="auto"/>
        <w:bottom w:val="none" w:sz="0" w:space="0" w:color="auto"/>
        <w:right w:val="none" w:sz="0" w:space="0" w:color="auto"/>
      </w:divBdr>
    </w:div>
    <w:div w:id="1977559838">
      <w:bodyDiv w:val="1"/>
      <w:marLeft w:val="0"/>
      <w:marRight w:val="0"/>
      <w:marTop w:val="0"/>
      <w:marBottom w:val="0"/>
      <w:divBdr>
        <w:top w:val="none" w:sz="0" w:space="0" w:color="auto"/>
        <w:left w:val="none" w:sz="0" w:space="0" w:color="auto"/>
        <w:bottom w:val="none" w:sz="0" w:space="0" w:color="auto"/>
        <w:right w:val="none" w:sz="0" w:space="0" w:color="auto"/>
      </w:divBdr>
    </w:div>
    <w:div w:id="1981106959">
      <w:bodyDiv w:val="1"/>
      <w:marLeft w:val="0"/>
      <w:marRight w:val="0"/>
      <w:marTop w:val="0"/>
      <w:marBottom w:val="0"/>
      <w:divBdr>
        <w:top w:val="none" w:sz="0" w:space="0" w:color="auto"/>
        <w:left w:val="none" w:sz="0" w:space="0" w:color="auto"/>
        <w:bottom w:val="none" w:sz="0" w:space="0" w:color="auto"/>
        <w:right w:val="none" w:sz="0" w:space="0" w:color="auto"/>
      </w:divBdr>
    </w:div>
    <w:div w:id="1983194082">
      <w:bodyDiv w:val="1"/>
      <w:marLeft w:val="0"/>
      <w:marRight w:val="0"/>
      <w:marTop w:val="0"/>
      <w:marBottom w:val="0"/>
      <w:divBdr>
        <w:top w:val="none" w:sz="0" w:space="0" w:color="auto"/>
        <w:left w:val="none" w:sz="0" w:space="0" w:color="auto"/>
        <w:bottom w:val="none" w:sz="0" w:space="0" w:color="auto"/>
        <w:right w:val="none" w:sz="0" w:space="0" w:color="auto"/>
      </w:divBdr>
    </w:div>
    <w:div w:id="1990398288">
      <w:bodyDiv w:val="1"/>
      <w:marLeft w:val="0"/>
      <w:marRight w:val="0"/>
      <w:marTop w:val="0"/>
      <w:marBottom w:val="0"/>
      <w:divBdr>
        <w:top w:val="none" w:sz="0" w:space="0" w:color="auto"/>
        <w:left w:val="none" w:sz="0" w:space="0" w:color="auto"/>
        <w:bottom w:val="none" w:sz="0" w:space="0" w:color="auto"/>
        <w:right w:val="none" w:sz="0" w:space="0" w:color="auto"/>
      </w:divBdr>
    </w:div>
    <w:div w:id="1996060633">
      <w:bodyDiv w:val="1"/>
      <w:marLeft w:val="0"/>
      <w:marRight w:val="0"/>
      <w:marTop w:val="0"/>
      <w:marBottom w:val="0"/>
      <w:divBdr>
        <w:top w:val="none" w:sz="0" w:space="0" w:color="auto"/>
        <w:left w:val="none" w:sz="0" w:space="0" w:color="auto"/>
        <w:bottom w:val="none" w:sz="0" w:space="0" w:color="auto"/>
        <w:right w:val="none" w:sz="0" w:space="0" w:color="auto"/>
      </w:divBdr>
    </w:div>
    <w:div w:id="1999072874">
      <w:bodyDiv w:val="1"/>
      <w:marLeft w:val="0"/>
      <w:marRight w:val="0"/>
      <w:marTop w:val="0"/>
      <w:marBottom w:val="0"/>
      <w:divBdr>
        <w:top w:val="none" w:sz="0" w:space="0" w:color="auto"/>
        <w:left w:val="none" w:sz="0" w:space="0" w:color="auto"/>
        <w:bottom w:val="none" w:sz="0" w:space="0" w:color="auto"/>
        <w:right w:val="none" w:sz="0" w:space="0" w:color="auto"/>
      </w:divBdr>
    </w:div>
    <w:div w:id="2007241405">
      <w:bodyDiv w:val="1"/>
      <w:marLeft w:val="0"/>
      <w:marRight w:val="0"/>
      <w:marTop w:val="0"/>
      <w:marBottom w:val="0"/>
      <w:divBdr>
        <w:top w:val="none" w:sz="0" w:space="0" w:color="auto"/>
        <w:left w:val="none" w:sz="0" w:space="0" w:color="auto"/>
        <w:bottom w:val="none" w:sz="0" w:space="0" w:color="auto"/>
        <w:right w:val="none" w:sz="0" w:space="0" w:color="auto"/>
      </w:divBdr>
    </w:div>
    <w:div w:id="2012177067">
      <w:bodyDiv w:val="1"/>
      <w:marLeft w:val="0"/>
      <w:marRight w:val="0"/>
      <w:marTop w:val="0"/>
      <w:marBottom w:val="0"/>
      <w:divBdr>
        <w:top w:val="none" w:sz="0" w:space="0" w:color="auto"/>
        <w:left w:val="none" w:sz="0" w:space="0" w:color="auto"/>
        <w:bottom w:val="none" w:sz="0" w:space="0" w:color="auto"/>
        <w:right w:val="none" w:sz="0" w:space="0" w:color="auto"/>
      </w:divBdr>
    </w:div>
    <w:div w:id="2018068735">
      <w:bodyDiv w:val="1"/>
      <w:marLeft w:val="0"/>
      <w:marRight w:val="0"/>
      <w:marTop w:val="0"/>
      <w:marBottom w:val="0"/>
      <w:divBdr>
        <w:top w:val="none" w:sz="0" w:space="0" w:color="auto"/>
        <w:left w:val="none" w:sz="0" w:space="0" w:color="auto"/>
        <w:bottom w:val="none" w:sz="0" w:space="0" w:color="auto"/>
        <w:right w:val="none" w:sz="0" w:space="0" w:color="auto"/>
      </w:divBdr>
    </w:div>
    <w:div w:id="2018727098">
      <w:bodyDiv w:val="1"/>
      <w:marLeft w:val="0"/>
      <w:marRight w:val="0"/>
      <w:marTop w:val="0"/>
      <w:marBottom w:val="0"/>
      <w:divBdr>
        <w:top w:val="none" w:sz="0" w:space="0" w:color="auto"/>
        <w:left w:val="none" w:sz="0" w:space="0" w:color="auto"/>
        <w:bottom w:val="none" w:sz="0" w:space="0" w:color="auto"/>
        <w:right w:val="none" w:sz="0" w:space="0" w:color="auto"/>
      </w:divBdr>
    </w:div>
    <w:div w:id="2042897832">
      <w:bodyDiv w:val="1"/>
      <w:marLeft w:val="0"/>
      <w:marRight w:val="0"/>
      <w:marTop w:val="0"/>
      <w:marBottom w:val="0"/>
      <w:divBdr>
        <w:top w:val="none" w:sz="0" w:space="0" w:color="auto"/>
        <w:left w:val="none" w:sz="0" w:space="0" w:color="auto"/>
        <w:bottom w:val="none" w:sz="0" w:space="0" w:color="auto"/>
        <w:right w:val="none" w:sz="0" w:space="0" w:color="auto"/>
      </w:divBdr>
    </w:div>
    <w:div w:id="2042899758">
      <w:bodyDiv w:val="1"/>
      <w:marLeft w:val="0"/>
      <w:marRight w:val="0"/>
      <w:marTop w:val="0"/>
      <w:marBottom w:val="0"/>
      <w:divBdr>
        <w:top w:val="none" w:sz="0" w:space="0" w:color="auto"/>
        <w:left w:val="none" w:sz="0" w:space="0" w:color="auto"/>
        <w:bottom w:val="none" w:sz="0" w:space="0" w:color="auto"/>
        <w:right w:val="none" w:sz="0" w:space="0" w:color="auto"/>
      </w:divBdr>
    </w:div>
    <w:div w:id="2051033125">
      <w:bodyDiv w:val="1"/>
      <w:marLeft w:val="0"/>
      <w:marRight w:val="0"/>
      <w:marTop w:val="0"/>
      <w:marBottom w:val="0"/>
      <w:divBdr>
        <w:top w:val="none" w:sz="0" w:space="0" w:color="auto"/>
        <w:left w:val="none" w:sz="0" w:space="0" w:color="auto"/>
        <w:bottom w:val="none" w:sz="0" w:space="0" w:color="auto"/>
        <w:right w:val="none" w:sz="0" w:space="0" w:color="auto"/>
      </w:divBdr>
    </w:div>
    <w:div w:id="2055277623">
      <w:bodyDiv w:val="1"/>
      <w:marLeft w:val="0"/>
      <w:marRight w:val="0"/>
      <w:marTop w:val="0"/>
      <w:marBottom w:val="0"/>
      <w:divBdr>
        <w:top w:val="none" w:sz="0" w:space="0" w:color="auto"/>
        <w:left w:val="none" w:sz="0" w:space="0" w:color="auto"/>
        <w:bottom w:val="none" w:sz="0" w:space="0" w:color="auto"/>
        <w:right w:val="none" w:sz="0" w:space="0" w:color="auto"/>
      </w:divBdr>
    </w:div>
    <w:div w:id="2055496675">
      <w:bodyDiv w:val="1"/>
      <w:marLeft w:val="0"/>
      <w:marRight w:val="0"/>
      <w:marTop w:val="0"/>
      <w:marBottom w:val="0"/>
      <w:divBdr>
        <w:top w:val="none" w:sz="0" w:space="0" w:color="auto"/>
        <w:left w:val="none" w:sz="0" w:space="0" w:color="auto"/>
        <w:bottom w:val="none" w:sz="0" w:space="0" w:color="auto"/>
        <w:right w:val="none" w:sz="0" w:space="0" w:color="auto"/>
      </w:divBdr>
    </w:div>
    <w:div w:id="2057778757">
      <w:bodyDiv w:val="1"/>
      <w:marLeft w:val="0"/>
      <w:marRight w:val="0"/>
      <w:marTop w:val="0"/>
      <w:marBottom w:val="0"/>
      <w:divBdr>
        <w:top w:val="none" w:sz="0" w:space="0" w:color="auto"/>
        <w:left w:val="none" w:sz="0" w:space="0" w:color="auto"/>
        <w:bottom w:val="none" w:sz="0" w:space="0" w:color="auto"/>
        <w:right w:val="none" w:sz="0" w:space="0" w:color="auto"/>
      </w:divBdr>
    </w:div>
    <w:div w:id="2067681671">
      <w:bodyDiv w:val="1"/>
      <w:marLeft w:val="0"/>
      <w:marRight w:val="0"/>
      <w:marTop w:val="0"/>
      <w:marBottom w:val="0"/>
      <w:divBdr>
        <w:top w:val="none" w:sz="0" w:space="0" w:color="auto"/>
        <w:left w:val="none" w:sz="0" w:space="0" w:color="auto"/>
        <w:bottom w:val="none" w:sz="0" w:space="0" w:color="auto"/>
        <w:right w:val="none" w:sz="0" w:space="0" w:color="auto"/>
      </w:divBdr>
    </w:div>
    <w:div w:id="2080978858">
      <w:bodyDiv w:val="1"/>
      <w:marLeft w:val="0"/>
      <w:marRight w:val="0"/>
      <w:marTop w:val="0"/>
      <w:marBottom w:val="0"/>
      <w:divBdr>
        <w:top w:val="none" w:sz="0" w:space="0" w:color="auto"/>
        <w:left w:val="none" w:sz="0" w:space="0" w:color="auto"/>
        <w:bottom w:val="none" w:sz="0" w:space="0" w:color="auto"/>
        <w:right w:val="none" w:sz="0" w:space="0" w:color="auto"/>
      </w:divBdr>
    </w:div>
    <w:div w:id="2081125127">
      <w:bodyDiv w:val="1"/>
      <w:marLeft w:val="0"/>
      <w:marRight w:val="0"/>
      <w:marTop w:val="0"/>
      <w:marBottom w:val="0"/>
      <w:divBdr>
        <w:top w:val="none" w:sz="0" w:space="0" w:color="auto"/>
        <w:left w:val="none" w:sz="0" w:space="0" w:color="auto"/>
        <w:bottom w:val="none" w:sz="0" w:space="0" w:color="auto"/>
        <w:right w:val="none" w:sz="0" w:space="0" w:color="auto"/>
      </w:divBdr>
    </w:div>
    <w:div w:id="2093239283">
      <w:bodyDiv w:val="1"/>
      <w:marLeft w:val="0"/>
      <w:marRight w:val="0"/>
      <w:marTop w:val="0"/>
      <w:marBottom w:val="0"/>
      <w:divBdr>
        <w:top w:val="none" w:sz="0" w:space="0" w:color="auto"/>
        <w:left w:val="none" w:sz="0" w:space="0" w:color="auto"/>
        <w:bottom w:val="none" w:sz="0" w:space="0" w:color="auto"/>
        <w:right w:val="none" w:sz="0" w:space="0" w:color="auto"/>
      </w:divBdr>
    </w:div>
    <w:div w:id="2103335192">
      <w:bodyDiv w:val="1"/>
      <w:marLeft w:val="0"/>
      <w:marRight w:val="0"/>
      <w:marTop w:val="0"/>
      <w:marBottom w:val="0"/>
      <w:divBdr>
        <w:top w:val="none" w:sz="0" w:space="0" w:color="auto"/>
        <w:left w:val="none" w:sz="0" w:space="0" w:color="auto"/>
        <w:bottom w:val="none" w:sz="0" w:space="0" w:color="auto"/>
        <w:right w:val="none" w:sz="0" w:space="0" w:color="auto"/>
      </w:divBdr>
    </w:div>
    <w:div w:id="2106266858">
      <w:bodyDiv w:val="1"/>
      <w:marLeft w:val="0"/>
      <w:marRight w:val="0"/>
      <w:marTop w:val="0"/>
      <w:marBottom w:val="0"/>
      <w:divBdr>
        <w:top w:val="none" w:sz="0" w:space="0" w:color="auto"/>
        <w:left w:val="none" w:sz="0" w:space="0" w:color="auto"/>
        <w:bottom w:val="none" w:sz="0" w:space="0" w:color="auto"/>
        <w:right w:val="none" w:sz="0" w:space="0" w:color="auto"/>
      </w:divBdr>
    </w:div>
    <w:div w:id="2109154968">
      <w:bodyDiv w:val="1"/>
      <w:marLeft w:val="0"/>
      <w:marRight w:val="0"/>
      <w:marTop w:val="0"/>
      <w:marBottom w:val="0"/>
      <w:divBdr>
        <w:top w:val="none" w:sz="0" w:space="0" w:color="auto"/>
        <w:left w:val="none" w:sz="0" w:space="0" w:color="auto"/>
        <w:bottom w:val="none" w:sz="0" w:space="0" w:color="auto"/>
        <w:right w:val="none" w:sz="0" w:space="0" w:color="auto"/>
      </w:divBdr>
    </w:div>
    <w:div w:id="2122144762">
      <w:bodyDiv w:val="1"/>
      <w:marLeft w:val="0"/>
      <w:marRight w:val="0"/>
      <w:marTop w:val="0"/>
      <w:marBottom w:val="0"/>
      <w:divBdr>
        <w:top w:val="none" w:sz="0" w:space="0" w:color="auto"/>
        <w:left w:val="none" w:sz="0" w:space="0" w:color="auto"/>
        <w:bottom w:val="none" w:sz="0" w:space="0" w:color="auto"/>
        <w:right w:val="none" w:sz="0" w:space="0" w:color="auto"/>
      </w:divBdr>
    </w:div>
    <w:div w:id="2123723648">
      <w:bodyDiv w:val="1"/>
      <w:marLeft w:val="0"/>
      <w:marRight w:val="0"/>
      <w:marTop w:val="0"/>
      <w:marBottom w:val="0"/>
      <w:divBdr>
        <w:top w:val="none" w:sz="0" w:space="0" w:color="auto"/>
        <w:left w:val="none" w:sz="0" w:space="0" w:color="auto"/>
        <w:bottom w:val="none" w:sz="0" w:space="0" w:color="auto"/>
        <w:right w:val="none" w:sz="0" w:space="0" w:color="auto"/>
      </w:divBdr>
      <w:divsChild>
        <w:div w:id="8218514">
          <w:marLeft w:val="0"/>
          <w:marRight w:val="0"/>
          <w:marTop w:val="0"/>
          <w:marBottom w:val="0"/>
          <w:divBdr>
            <w:top w:val="none" w:sz="0" w:space="0" w:color="auto"/>
            <w:left w:val="none" w:sz="0" w:space="0" w:color="auto"/>
            <w:bottom w:val="none" w:sz="0" w:space="0" w:color="auto"/>
            <w:right w:val="none" w:sz="0" w:space="0" w:color="auto"/>
          </w:divBdr>
        </w:div>
        <w:div w:id="118106864">
          <w:marLeft w:val="0"/>
          <w:marRight w:val="0"/>
          <w:marTop w:val="0"/>
          <w:marBottom w:val="0"/>
          <w:divBdr>
            <w:top w:val="none" w:sz="0" w:space="0" w:color="auto"/>
            <w:left w:val="none" w:sz="0" w:space="0" w:color="auto"/>
            <w:bottom w:val="none" w:sz="0" w:space="0" w:color="auto"/>
            <w:right w:val="none" w:sz="0" w:space="0" w:color="auto"/>
          </w:divBdr>
        </w:div>
        <w:div w:id="659043411">
          <w:marLeft w:val="0"/>
          <w:marRight w:val="0"/>
          <w:marTop w:val="0"/>
          <w:marBottom w:val="0"/>
          <w:divBdr>
            <w:top w:val="none" w:sz="0" w:space="0" w:color="auto"/>
            <w:left w:val="none" w:sz="0" w:space="0" w:color="auto"/>
            <w:bottom w:val="none" w:sz="0" w:space="0" w:color="auto"/>
            <w:right w:val="none" w:sz="0" w:space="0" w:color="auto"/>
          </w:divBdr>
        </w:div>
        <w:div w:id="768047272">
          <w:marLeft w:val="0"/>
          <w:marRight w:val="0"/>
          <w:marTop w:val="0"/>
          <w:marBottom w:val="0"/>
          <w:divBdr>
            <w:top w:val="none" w:sz="0" w:space="0" w:color="auto"/>
            <w:left w:val="none" w:sz="0" w:space="0" w:color="auto"/>
            <w:bottom w:val="none" w:sz="0" w:space="0" w:color="auto"/>
            <w:right w:val="none" w:sz="0" w:space="0" w:color="auto"/>
          </w:divBdr>
        </w:div>
        <w:div w:id="1032729526">
          <w:marLeft w:val="0"/>
          <w:marRight w:val="0"/>
          <w:marTop w:val="0"/>
          <w:marBottom w:val="0"/>
          <w:divBdr>
            <w:top w:val="none" w:sz="0" w:space="0" w:color="auto"/>
            <w:left w:val="none" w:sz="0" w:space="0" w:color="auto"/>
            <w:bottom w:val="none" w:sz="0" w:space="0" w:color="auto"/>
            <w:right w:val="none" w:sz="0" w:space="0" w:color="auto"/>
          </w:divBdr>
        </w:div>
        <w:div w:id="1219705916">
          <w:marLeft w:val="0"/>
          <w:marRight w:val="0"/>
          <w:marTop w:val="0"/>
          <w:marBottom w:val="0"/>
          <w:divBdr>
            <w:top w:val="none" w:sz="0" w:space="0" w:color="auto"/>
            <w:left w:val="none" w:sz="0" w:space="0" w:color="auto"/>
            <w:bottom w:val="none" w:sz="0" w:space="0" w:color="auto"/>
            <w:right w:val="none" w:sz="0" w:space="0" w:color="auto"/>
          </w:divBdr>
        </w:div>
        <w:div w:id="1344933627">
          <w:marLeft w:val="0"/>
          <w:marRight w:val="0"/>
          <w:marTop w:val="0"/>
          <w:marBottom w:val="0"/>
          <w:divBdr>
            <w:top w:val="none" w:sz="0" w:space="0" w:color="auto"/>
            <w:left w:val="none" w:sz="0" w:space="0" w:color="auto"/>
            <w:bottom w:val="none" w:sz="0" w:space="0" w:color="auto"/>
            <w:right w:val="none" w:sz="0" w:space="0" w:color="auto"/>
          </w:divBdr>
        </w:div>
        <w:div w:id="1439062062">
          <w:marLeft w:val="0"/>
          <w:marRight w:val="0"/>
          <w:marTop w:val="0"/>
          <w:marBottom w:val="0"/>
          <w:divBdr>
            <w:top w:val="none" w:sz="0" w:space="0" w:color="auto"/>
            <w:left w:val="none" w:sz="0" w:space="0" w:color="auto"/>
            <w:bottom w:val="none" w:sz="0" w:space="0" w:color="auto"/>
            <w:right w:val="none" w:sz="0" w:space="0" w:color="auto"/>
          </w:divBdr>
        </w:div>
        <w:div w:id="1531869759">
          <w:marLeft w:val="0"/>
          <w:marRight w:val="0"/>
          <w:marTop w:val="0"/>
          <w:marBottom w:val="0"/>
          <w:divBdr>
            <w:top w:val="none" w:sz="0" w:space="0" w:color="auto"/>
            <w:left w:val="none" w:sz="0" w:space="0" w:color="auto"/>
            <w:bottom w:val="none" w:sz="0" w:space="0" w:color="auto"/>
            <w:right w:val="none" w:sz="0" w:space="0" w:color="auto"/>
          </w:divBdr>
        </w:div>
        <w:div w:id="1580627649">
          <w:marLeft w:val="0"/>
          <w:marRight w:val="0"/>
          <w:marTop w:val="0"/>
          <w:marBottom w:val="0"/>
          <w:divBdr>
            <w:top w:val="none" w:sz="0" w:space="0" w:color="auto"/>
            <w:left w:val="none" w:sz="0" w:space="0" w:color="auto"/>
            <w:bottom w:val="none" w:sz="0" w:space="0" w:color="auto"/>
            <w:right w:val="none" w:sz="0" w:space="0" w:color="auto"/>
          </w:divBdr>
        </w:div>
        <w:div w:id="1659647712">
          <w:marLeft w:val="0"/>
          <w:marRight w:val="0"/>
          <w:marTop w:val="0"/>
          <w:marBottom w:val="0"/>
          <w:divBdr>
            <w:top w:val="none" w:sz="0" w:space="0" w:color="auto"/>
            <w:left w:val="none" w:sz="0" w:space="0" w:color="auto"/>
            <w:bottom w:val="none" w:sz="0" w:space="0" w:color="auto"/>
            <w:right w:val="none" w:sz="0" w:space="0" w:color="auto"/>
          </w:divBdr>
        </w:div>
        <w:div w:id="1723359091">
          <w:marLeft w:val="0"/>
          <w:marRight w:val="0"/>
          <w:marTop w:val="0"/>
          <w:marBottom w:val="0"/>
          <w:divBdr>
            <w:top w:val="none" w:sz="0" w:space="0" w:color="auto"/>
            <w:left w:val="none" w:sz="0" w:space="0" w:color="auto"/>
            <w:bottom w:val="none" w:sz="0" w:space="0" w:color="auto"/>
            <w:right w:val="none" w:sz="0" w:space="0" w:color="auto"/>
          </w:divBdr>
        </w:div>
        <w:div w:id="1865708035">
          <w:marLeft w:val="0"/>
          <w:marRight w:val="0"/>
          <w:marTop w:val="0"/>
          <w:marBottom w:val="0"/>
          <w:divBdr>
            <w:top w:val="none" w:sz="0" w:space="0" w:color="auto"/>
            <w:left w:val="none" w:sz="0" w:space="0" w:color="auto"/>
            <w:bottom w:val="none" w:sz="0" w:space="0" w:color="auto"/>
            <w:right w:val="none" w:sz="0" w:space="0" w:color="auto"/>
          </w:divBdr>
        </w:div>
        <w:div w:id="1952393224">
          <w:marLeft w:val="0"/>
          <w:marRight w:val="0"/>
          <w:marTop w:val="0"/>
          <w:marBottom w:val="0"/>
          <w:divBdr>
            <w:top w:val="none" w:sz="0" w:space="0" w:color="auto"/>
            <w:left w:val="none" w:sz="0" w:space="0" w:color="auto"/>
            <w:bottom w:val="none" w:sz="0" w:space="0" w:color="auto"/>
            <w:right w:val="none" w:sz="0" w:space="0" w:color="auto"/>
          </w:divBdr>
        </w:div>
        <w:div w:id="1963001116">
          <w:marLeft w:val="0"/>
          <w:marRight w:val="0"/>
          <w:marTop w:val="0"/>
          <w:marBottom w:val="0"/>
          <w:divBdr>
            <w:top w:val="none" w:sz="0" w:space="0" w:color="auto"/>
            <w:left w:val="none" w:sz="0" w:space="0" w:color="auto"/>
            <w:bottom w:val="none" w:sz="0" w:space="0" w:color="auto"/>
            <w:right w:val="none" w:sz="0" w:space="0" w:color="auto"/>
          </w:divBdr>
        </w:div>
        <w:div w:id="1982691282">
          <w:marLeft w:val="0"/>
          <w:marRight w:val="0"/>
          <w:marTop w:val="0"/>
          <w:marBottom w:val="0"/>
          <w:divBdr>
            <w:top w:val="none" w:sz="0" w:space="0" w:color="auto"/>
            <w:left w:val="none" w:sz="0" w:space="0" w:color="auto"/>
            <w:bottom w:val="none" w:sz="0" w:space="0" w:color="auto"/>
            <w:right w:val="none" w:sz="0" w:space="0" w:color="auto"/>
          </w:divBdr>
        </w:div>
        <w:div w:id="2068452942">
          <w:marLeft w:val="0"/>
          <w:marRight w:val="0"/>
          <w:marTop w:val="0"/>
          <w:marBottom w:val="0"/>
          <w:divBdr>
            <w:top w:val="none" w:sz="0" w:space="0" w:color="auto"/>
            <w:left w:val="none" w:sz="0" w:space="0" w:color="auto"/>
            <w:bottom w:val="none" w:sz="0" w:space="0" w:color="auto"/>
            <w:right w:val="none" w:sz="0" w:space="0" w:color="auto"/>
          </w:divBdr>
        </w:div>
      </w:divsChild>
    </w:div>
    <w:div w:id="2125953090">
      <w:bodyDiv w:val="1"/>
      <w:marLeft w:val="0"/>
      <w:marRight w:val="0"/>
      <w:marTop w:val="0"/>
      <w:marBottom w:val="0"/>
      <w:divBdr>
        <w:top w:val="none" w:sz="0" w:space="0" w:color="auto"/>
        <w:left w:val="none" w:sz="0" w:space="0" w:color="auto"/>
        <w:bottom w:val="none" w:sz="0" w:space="0" w:color="auto"/>
        <w:right w:val="none" w:sz="0" w:space="0" w:color="auto"/>
      </w:divBdr>
    </w:div>
    <w:div w:id="2136171395">
      <w:bodyDiv w:val="1"/>
      <w:marLeft w:val="0"/>
      <w:marRight w:val="0"/>
      <w:marTop w:val="0"/>
      <w:marBottom w:val="0"/>
      <w:divBdr>
        <w:top w:val="none" w:sz="0" w:space="0" w:color="auto"/>
        <w:left w:val="none" w:sz="0" w:space="0" w:color="auto"/>
        <w:bottom w:val="none" w:sz="0" w:space="0" w:color="auto"/>
        <w:right w:val="none" w:sz="0" w:space="0" w:color="auto"/>
      </w:divBdr>
    </w:div>
    <w:div w:id="2137286598">
      <w:bodyDiv w:val="1"/>
      <w:marLeft w:val="0"/>
      <w:marRight w:val="0"/>
      <w:marTop w:val="0"/>
      <w:marBottom w:val="0"/>
      <w:divBdr>
        <w:top w:val="none" w:sz="0" w:space="0" w:color="auto"/>
        <w:left w:val="none" w:sz="0" w:space="0" w:color="auto"/>
        <w:bottom w:val="none" w:sz="0" w:space="0" w:color="auto"/>
        <w:right w:val="none" w:sz="0" w:space="0" w:color="auto"/>
      </w:divBdr>
    </w:div>
    <w:div w:id="214639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conomists@marsdenjacob.com.au"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rsdenjacob.com.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usport.gov.au/information/casro/ERA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Gro12</b:Tag>
    <b:SourceType>JournalArticle</b:SourceType>
    <b:Guid>{6459A171-E86E-4E83-BE41-31E0DB37EFF4}</b:Guid>
    <b:Author>
      <b:Author>
        <b:NameList>
          <b:Person>
            <b:Last>Groot</b:Last>
            <b:First>Rudolf</b:First>
            <b:Middle>de</b:Middle>
          </b:Person>
          <b:Person>
            <b:Last>Brander</b:Last>
            <b:First>Luke</b:First>
          </b:Person>
          <b:Person>
            <b:Last>Ploeg</b:Last>
            <b:First>Sander</b:First>
            <b:Middle>van der</b:Middle>
          </b:Person>
          <b:Person>
            <b:Last>Costanza</b:Last>
            <b:First>Robert</b:First>
          </b:Person>
          <b:Person>
            <b:Last>Bernard</b:Last>
            <b:First>Florence</b:First>
          </b:Person>
        </b:NameList>
      </b:Author>
    </b:Author>
    <b:Title>Global estimates of the value of ecosystems and their services in monetary units</b:Title>
    <b:JournalName>Ecosystem Services</b:JournalName>
    <b:Year>2012</b:Year>
    <b:Pages>1(1) 50-61</b:Pages>
    <b:RefOrder>13</b:RefOrder>
  </b:Source>
  <b:Source>
    <b:Tag>Mit13</b:Tag>
    <b:SourceType>JournalArticle</b:SourceType>
    <b:Guid>{3362447F-A4F0-48E4-8979-2C08EF92D4B9}</b:Guid>
    <b:Author>
      <b:Author>
        <b:NameList>
          <b:Person>
            <b:Last>Mitchell</b:Last>
            <b:First>Richard</b:First>
          </b:Person>
        </b:NameList>
      </b:Author>
    </b:Author>
    <b:Title>Is physical activity in natural environments better for mental health than physical activity in other environments?</b:Title>
    <b:Year>2013</b:Year>
    <b:JournalName>Social Science &amp; Medicine</b:JournalName>
    <b:Pages>91:130-4</b:Pages>
    <b:RefOrder>14</b:RefOrder>
  </b:Source>
  <b:Source>
    <b:Tag>Pas14</b:Tag>
    <b:SourceType>JournalArticle</b:SourceType>
    <b:Guid>{FE40EDD0-92F4-4CBB-AD3F-FC375CB1FD31}</b:Guid>
    <b:Author>
      <b:Author>
        <b:NameList>
          <b:Person>
            <b:Last>Pasanen</b:Last>
            <b:First>Tytti</b:First>
            <b:Middle>P</b:Middle>
          </b:Person>
          <b:Person>
            <b:Last>Tyrväinen</b:Last>
            <b:First>Liisa</b:First>
          </b:Person>
          <b:Person>
            <b:Last>Korpela</b:Last>
            <b:First>Kalevi</b:First>
            <b:Middle>M.</b:Middle>
          </b:Person>
        </b:NameList>
      </b:Author>
    </b:Author>
    <b:Title>The Relationship between Perceived Health and Physical Activity Indoors, Outdoors in Built Environments, and Outdoors in Nature</b:Title>
    <b:JournalName>Applied Psychology: Health and Well-Being</b:JournalName>
    <b:Year>2014</b:Year>
    <b:Pages>Volume 6, Issue 3, pages 324–346</b:Pages>
    <b:RefOrder>15</b:RefOrder>
  </b:Source>
  <b:Source>
    <b:Tag>Nei08</b:Tag>
    <b:SourceType>ConferenceProceedings</b:SourceType>
    <b:Guid>{06F70B4D-DB8F-40E8-92D0-3379FA7D85EB}</b:Guid>
    <b:Title>Meta-Analytic Research on the Outcomes of Outdoor Education</b:Title>
    <b:Year>2008</b:Year>
    <b:Author>
      <b:Author>
        <b:NameList>
          <b:Person>
            <b:Last>Neill</b:Last>
            <b:First>James</b:First>
            <b:Middle>T.</b:Middle>
          </b:Person>
        </b:NameList>
      </b:Author>
    </b:Author>
    <b:ConferenceName>Paper presented to the 6th Biennial Coalition for Education in the Outdoors Research Symposium, Bradford Woods, IN, 11-13 January, 2002</b:ConferenceName>
    <b:Publisher>http://wilderdom.com/research/researchoutcomesmeta-analytic.htm</b:Publisher>
    <b:RefOrder>8</b:RefOrder>
  </b:Source>
  <b:Source>
    <b:Tag>Coo11</b:Tag>
    <b:SourceType>JournalArticle</b:SourceType>
    <b:Guid>{630EAA6B-C8BD-4301-8210-F1FBE2D7025A}</b:Guid>
    <b:Title>Does Participating in Physical Activity in Outdoor Natural Environments Have a Greater Effect on Physical and Mental Wellbeing than Physical Activity Indoors?  A Systematic Review</b:Title>
    <b:Pages>http://pubs.acs.org/doi/abs/10.1021/es102947t</b:Pages>
    <b:Year>2011</b:Year>
    <b:Author>
      <b:Author>
        <b:NameList>
          <b:Person>
            <b:Last>Coon</b:Last>
            <b:First>Thompson</b:First>
          </b:Person>
          <b:Person>
            <b:Last>Boddy</b:Last>
            <b:First>K</b:First>
          </b:Person>
          <b:Person>
            <b:Last>Stein</b:Last>
            <b:First>K</b:First>
          </b:Person>
          <b:Person>
            <b:Last>Whear</b:Last>
            <b:First>R</b:First>
          </b:Person>
          <b:Person>
            <b:Last>Barton</b:Last>
            <b:First>J</b:First>
          </b:Person>
          <b:Person>
            <b:Last>Depledge</b:Last>
            <b:First>MH</b:First>
          </b:Person>
        </b:NameList>
      </b:Author>
    </b:Author>
    <b:JournalName>Environmental Science &amp; Technology</b:JournalName>
    <b:RefOrder>16</b:RefOrder>
  </b:Source>
  <b:Source>
    <b:Tag>Bow101</b:Tag>
    <b:SourceType>JournalArticle</b:SourceType>
    <b:Guid>{7B51B994-333A-41B4-B103-A42B9BB823DC}</b:Guid>
    <b:Author>
      <b:Author>
        <b:NameList>
          <b:Person>
            <b:Last>Bowler</b:Last>
            <b:First>Diana</b:First>
          </b:Person>
          <b:Person>
            <b:Last>Buyung-Ali</b:Last>
            <b:First>Lisette</b:First>
            <b:Middle>M</b:Middle>
          </b:Person>
          <b:Person>
            <b:Last>Knight</b:Last>
            <b:First>Teri</b:First>
            <b:Middle>M</b:Middle>
          </b:Person>
          <b:Person>
            <b:Last>Pullin</b:Last>
            <b:First>Andrew</b:First>
            <b:Middle>S</b:Middle>
          </b:Person>
        </b:NameList>
      </b:Author>
    </b:Author>
    <b:Title>A systematic review of evidence for the added benefits to health of exposure to natural environments</b:Title>
    <b:JournalName>BMC Public Health </b:JournalName>
    <b:Year>2010</b:Year>
    <b:Pages>10:456  doi:10.1186/1471-2458-10-456</b:Pages>
    <b:RefOrder>17</b:RefOrder>
  </b:Source>
  <b:Source>
    <b:Tag>God09</b:Tag>
    <b:SourceType>Report</b:SourceType>
    <b:Guid>{A8FA3FB7-13DC-477B-A222-14AE7A476BAA}</b:Guid>
    <b:Title>Outdoor Recreation, Health, and Wellness: Understanding and Enhancing the Relationship</b:Title>
    <b:Year>2009</b:Year>
    <b:City>Washington DC</b:City>
    <b:Publisher>Resources For the Future (RFF)</b:Publisher>
    <b:Author>
      <b:Author>
        <b:NameList>
          <b:Person>
            <b:Last>Godbey</b:Last>
            <b:First>Geoffrey</b:First>
          </b:Person>
        </b:NameList>
      </b:Author>
    </b:Author>
    <b:RefOrder>18</b:RefOrder>
  </b:Source>
  <b:Source>
    <b:Tag>Dic08</b:Tag>
    <b:SourceType>Report</b:SourceType>
    <b:Guid>{1709EC23-43C4-4E2F-986C-7D4007B34147}</b:Guid>
    <b:Author>
      <b:Author>
        <b:NameList>
          <b:Person>
            <b:Last>Dickson</b:Last>
            <b:First>Tracey</b:First>
            <b:Middle>J</b:Middle>
          </b:Person>
          <b:Person>
            <b:Last>Gray</b:Last>
            <b:First>Tonia</b:First>
          </b:Person>
          <b:Person>
            <b:Last>Mann</b:Last>
            <b:First>Kathy</b:First>
          </b:Person>
        </b:NameList>
      </b:Author>
    </b:Author>
    <b:Title>Australian Outdoor Adventure Activity Benefits Catalogue</b:Title>
    <b:Year>2008</b:Year>
    <b:Publisher>Outdoor Council of Australia</b:Publisher>
    <b:City>Canberra</b:City>
    <b:RefOrder>12</b:RefOrder>
  </b:Source>
  <b:Source>
    <b:Tag>Med08</b:Tag>
    <b:SourceType>Report</b:SourceType>
    <b:Guid>{58256B38-FEE3-4591-B238-FD3D817189C3}</b:Guid>
    <b:Author>
      <b:Author>
        <b:Corporate>Medibank Private and KMPG-Econtech</b:Corporate>
      </b:Author>
    </b:Author>
    <b:Title>The cost of physical inactivity</b:Title>
    <b:Year>2008</b:Year>
    <b:Publisher>Medibank Private </b:Publisher>
    <b:City>Melbourne</b:City>
    <b:RefOrder>5</b:RefOrder>
  </b:Source>
  <b:Source>
    <b:Tag>Que12</b:Tag>
    <b:SourceType>Report</b:SourceType>
    <b:Guid>{B069BD37-B161-4503-B8E3-B5158FF61DE9}</b:Guid>
    <b:Author>
      <b:Author>
        <b:Corporate>Queensland Outdoor Recreation Federation</b:Corporate>
      </b:Author>
    </b:Author>
    <b:Title>Measuring the contribution of the Outdoor Recreation Sector in Queensland</b:Title>
    <b:Year>2012</b:Year>
    <b:Publisher>Queensland Outdoor Recreation Federation</b:Publisher>
    <b:City>Brisbane</b:City>
    <b:RefOrder>9</b:RefOrder>
  </b:Source>
  <b:Source>
    <b:Tag>Aus15</b:Tag>
    <b:SourceType>Report</b:SourceType>
    <b:Guid>{1284AA89-D777-4909-AE97-171394201AA0}</b:Guid>
    <b:Author>
      <b:Author>
        <b:Corporate>Australian Bureau of Statistics</b:Corporate>
      </b:Author>
    </b:Author>
    <b:Title>6202.0 - Labour Force, Australia, Sep 2015</b:Title>
    <b:Year>2015</b:Year>
    <b:Publisher>ABS</b:Publisher>
    <b:City>Canberra</b:City>
    <b:RefOrder>19</b:RefOrder>
  </b:Source>
  <b:Source>
    <b:Tag>Bow15</b:Tag>
    <b:SourceType>JournalArticle</b:SourceType>
    <b:Guid>{ACBE390E-A15B-465A-B29C-99257507E749}</b:Guid>
    <b:Author>
      <b:Author>
        <b:NameList>
          <b:Person>
            <b:Last>Bowen</b:Last>
            <b:First>Daniel</b:First>
            <b:Middle>J</b:Middle>
          </b:Person>
          <b:Person>
            <b:Last>Neilla</b:Last>
            <b:First>James</b:First>
            <b:Middle>T.</b:Middle>
          </b:Person>
        </b:NameList>
      </b:Author>
    </b:Author>
    <b:Title>Effects of the PCYC Catalyst outdoor adventure intervention program on youths' life skills, mental health, and delinquent behaviour</b:Title>
    <b:Year>2015</b:Year>
    <b:Publisher>International Journal of Adolescence and Youth</b:Publisher>
    <b:JournalName>International Journal of Adolescence and Youth</b:JournalName>
    <b:Pages>DOI: 10.1080/02673843.2015.1027716</b:Pages>
    <b:RefOrder>10</b:RefOrder>
  </b:Source>
  <b:Source>
    <b:Tag>Bow13</b:Tag>
    <b:SourceType>JournalArticle</b:SourceType>
    <b:Guid>{451DFB12-91F6-43AB-B491-73F53DFDC982}</b:Guid>
    <b:Author>
      <b:Author>
        <b:NameList>
          <b:Person>
            <b:Last>Bowen</b:Last>
            <b:First>Daniel</b:First>
            <b:Middle>J</b:Middle>
          </b:Person>
          <b:Person>
            <b:Last>Neilla</b:Last>
            <b:First>James</b:First>
            <b:Middle>T.</b:Middle>
          </b:Person>
        </b:NameList>
      </b:Author>
    </b:Author>
    <b:Title>A meta-analysis of adventure therapy outcomes and moderators</b:Title>
    <b:JournalName>The Open Psychology Journal</b:JournalName>
    <b:Year>2013</b:Year>
    <b:Pages>6, 28–53. doi:10.2174/1874350120130802001</b:Pages>
    <b:RefOrder>11</b:RefOrder>
  </b:Source>
  <b:Source>
    <b:Tag>Bri15</b:Tag>
    <b:SourceType>Report</b:SourceType>
    <b:Guid>{AB5F1B8D-9A22-4295-90E1-099E719C3BF0}</b:Guid>
    <b:Author>
      <b:Author>
        <b:NameList>
          <b:Person>
            <b:Last>Briceno</b:Last>
            <b:First>T.</b:First>
          </b:Person>
          <b:Person>
            <b:Last>Schundler</b:Last>
            <b:First>G.</b:First>
          </b:Person>
        </b:NameList>
      </b:Author>
    </b:Author>
    <b:Title>Economic Analysis of Outdoor Recreation in Washington State</b:Title>
    <b:Year>2015</b:Year>
    <b:Publisher>Earth Economics</b:Publisher>
    <b:RefOrder>20</b:RefOrder>
  </b:Source>
  <b:Source>
    <b:Tag>AEC14</b:Tag>
    <b:SourceType>Report</b:SourceType>
    <b:Guid>{93A12397-C403-4914-8056-DFA38B35673D}</b:Guid>
    <b:Author>
      <b:Author>
        <b:Corporate>AECOM</b:Corporate>
      </b:Author>
    </b:Author>
    <b:Title>The economic value of boating and marine industries associated with the use of Gippsland Lakes</b:Title>
    <b:Year>2014</b:Year>
    <b:Publisher>AECOM</b:Publisher>
    <b:City>Melbourne</b:City>
    <b:RefOrder>21</b:RefOrder>
  </b:Source>
  <b:Source>
    <b:Tag>Aus12</b:Tag>
    <b:SourceType>Report</b:SourceType>
    <b:Guid>{92A51D25-EE4E-4C92-AAF2-E4CEFF2E3B1D}</b:Guid>
    <b:Author>
      <b:Author>
        <b:Corporate>Australian Camps Association</b:Corporate>
      </b:Author>
    </b:Author>
    <b:Title>Prices and Occupancy Survey Report 2012</b:Title>
    <b:Year>2012</b:Year>
    <b:Publisher>ACA</b:Publisher>
    <b:RefOrder>22</b:RefOrder>
  </b:Source>
  <b:Source>
    <b:Tag>Cad11</b:Tag>
    <b:SourceType>JournalArticle</b:SourceType>
    <b:Guid>{5047DADF-3479-4C7F-BAC3-7CF7318EBDAB}</b:Guid>
    <b:Title>The economic benefits of reducing physical inactivity: an Australian example</b:Title>
    <b:Year>2011</b:Year>
    <b:Author>
      <b:Author>
        <b:NameList>
          <b:Person>
            <b:Last>Cadilhac</b:Last>
            <b:First>D</b:First>
          </b:Person>
          <b:Person>
            <b:Last>Cumming</b:Last>
            <b:First>T</b:First>
          </b:Person>
          <b:Person>
            <b:Last>Sheppard</b:Last>
            <b:First>L</b:First>
          </b:Person>
          <b:Person>
            <b:Last>Pearce</b:Last>
            <b:First>D</b:First>
          </b:Person>
          <b:Person>
            <b:Last>Carter</b:Last>
            <b:First>R</b:First>
          </b:Person>
          <b:Person>
            <b:Last>Magnus</b:Last>
            <b:First>A</b:First>
          </b:Person>
        </b:NameList>
      </b:Author>
    </b:Author>
    <b:JournalName>International Journal of Behavioral Nutrition and Physical Activity</b:JournalName>
    <b:Pages>8:99</b:Pages>
    <b:RefOrder>7</b:RefOrder>
  </b:Source>
  <b:Source>
    <b:Tag>DCa09</b:Tag>
    <b:SourceType>Report</b:SourceType>
    <b:Guid>{78F38335-90D8-425C-83EF-01D6F2A26D2F}</b:Guid>
    <b:Author>
      <b:Author>
        <b:NameList>
          <b:Person>
            <b:Last>Cadilhac</b:Last>
            <b:First>D</b:First>
          </b:Person>
          <b:Person>
            <b:Last>Cumming</b:Last>
            <b:First>T</b:First>
          </b:Person>
          <b:Person>
            <b:Last>Sheppard</b:Last>
            <b:First>L</b:First>
          </b:Person>
          <b:Person>
            <b:Last>Pearce</b:Last>
            <b:First>D</b:First>
          </b:Person>
          <b:Person>
            <b:Last>Carter</b:Last>
            <b:First>R</b:First>
          </b:Person>
        </b:NameList>
      </b:Author>
    </b:Author>
    <b:Title>The health and economic benefits of reducing disease risk factors: Research Report</b:Title>
    <b:Year>2009</b:Year>
    <b:Publisher>VicHealth</b:Publisher>
    <b:City>Melbourne</b:City>
    <b:RefOrder>4</b:RefOrder>
  </b:Source>
  <b:Source>
    <b:Tag>Vic16</b:Tag>
    <b:SourceType>Report</b:SourceType>
    <b:Guid>{E7F0DC64-2EA1-49E1-93C6-A1B8452EAAD1}</b:Guid>
    <b:Author>
      <b:Author>
        <b:Corporate>VicHealth</b:Corporate>
      </b:Author>
    </b:Author>
    <b:Title>Physical activity and sedentary behaviour: evidence summary</b:Title>
    <b:Year>2016</b:Year>
    <b:Publisher>VicHealth</b:Publisher>
    <b:City>Melbourne</b:City>
    <b:RefOrder>2</b:RefOrder>
  </b:Source>
  <b:Source>
    <b:Tag>Din16</b:Tag>
    <b:SourceType>JournalArticle</b:SourceType>
    <b:Guid>{2ABFA04F-B301-43B2-966A-4774E21D1BF7}</b:Guid>
    <b:Author>
      <b:Author>
        <b:NameList>
          <b:Person>
            <b:Last>Ding</b:Last>
            <b:First>Ding</b:First>
          </b:Person>
          <b:Person>
            <b:Last>Lawson</b:Last>
            <b:First>Kenny</b:First>
          </b:Person>
          <b:Person>
            <b:Last>Kolbe-Alexander</b:Last>
            <b:First>Tracy</b:First>
          </b:Person>
          <b:Person>
            <b:Last>Finkelstein</b:Last>
            <b:First>Eric</b:First>
          </b:Person>
          <b:Person>
            <b:Last>Katzmarzyk</b:Last>
            <b:First>Peter</b:First>
          </b:Person>
          <b:Person>
            <b:Last>van Mechelen</b:Last>
            <b:First>Willem</b:First>
          </b:Person>
          <b:Person>
            <b:Last>Pratt</b:Last>
            <b:First>Michael</b:First>
          </b:Person>
        </b:NameList>
      </b:Author>
    </b:Author>
    <b:Title>The economic burden of physical inactivity: a global analysis of major non-communicable diseases</b:Title>
    <b:Year>2016</b:Year>
    <b:JournalName>The Lancet</b:JournalName>
    <b:Pages>http://dx.doi.org/10.1016/S0140-6736(16)30383-X</b:Pages>
    <b:RefOrder>3</b:RefOrder>
  </b:Source>
  <b:Source>
    <b:Tag>Com11</b:Tag>
    <b:SourceType>Report</b:SourceType>
    <b:Guid>{2C806F82-9A9B-4254-9F7A-72EF0DD507F4}</b:Guid>
    <b:Author>
      <b:Author>
        <b:Corporate>Commonwealth of Australia</b:Corporate>
      </b:Author>
    </b:Author>
    <b:Title>National Sport and Active Recreation Policy Framework</b:Title>
    <b:City>Canberra</b:City>
    <b:Year>2011</b:Year>
    <b:RefOrder>1</b:RefOrder>
  </b:Source>
  <b:Source>
    <b:Tag>Aus13</b:Tag>
    <b:SourceType>ElectronicSource</b:SourceType>
    <b:Guid>{209A2AF3-149B-4C8D-80D0-55FABA647194}</b:Guid>
    <b:Title>Australia's fitness sector sees growth in the billions,</b:Title>
    <b:Year>2013</b:Year>
    <b:Author>
      <b:Author>
        <b:Corporate>Australian Business Review</b:Corporate>
      </b:Author>
    </b:Author>
    <b:URL>http://www.businessreviewaustralia.com/leadership/153/Australia's-fitness-sector-sees-growth-in-the-billions</b:URL>
    <b:RefOrder>6</b:RefOrder>
  </b:Source>
  <b:Source>
    <b:Tag>Aus151</b:Tag>
    <b:SourceType>ElectronicSource</b:SourceType>
    <b:Guid>{A730D489-FEEC-490C-A436-445063A9A85A}</b:Guid>
    <b:Author>
      <b:Author>
        <b:Corporate>Australian Bureau of Statistics</b:Corporate>
      </b:Author>
    </b:Author>
    <b:Title>5220.0 - Australian National Accounts: State Accounts, 2014-15</b:Title>
    <b:Year>2015</b:Year>
    <b:YearAccessed>2016</b:YearAccessed>
    <b:MonthAccessed>October</b:MonthAccessed>
    <b:DayAccessed>10</b:DayAccessed>
    <b:URL>http://www.abs.gov.au/AUSSTATS/abs@.nsf/Lookup/5220.0Explanatory%20Notes12014-15?OpenDocument</b:URL>
    <b:RefOrder>23</b:RefOrder>
  </b:Source>
  <b:Source>
    <b:Tag>Hea14</b:Tag>
    <b:SourceType>ElectronicSource</b:SourceType>
    <b:Guid>{B48A7F9D-16FD-40AB-B43F-8B679259E6DF}</b:Guid>
    <b:Author>
      <b:Author>
        <b:Corporate>Department of Health</b:Corporate>
      </b:Author>
    </b:Author>
    <b:Title>Australia’s physical activity and sedentary behaviour guidelines.</b:Title>
    <b:Year>2014</b:Year>
    <b:Day>http://www.health.gov.au/internet/main/</b:Day>
    <b:RefOrder>24</b:RefOrder>
  </b:Source>
</b:Sources>
</file>

<file path=customXml/itemProps1.xml><?xml version="1.0" encoding="utf-8"?>
<ds:datastoreItem xmlns:ds="http://schemas.openxmlformats.org/officeDocument/2006/customXml" ds:itemID="{90A0768F-C760-47BA-AFCE-7DA173A4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59</Pages>
  <Words>16090</Words>
  <Characters>91716</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The economic impacts of active recreation in Victoria</vt:lpstr>
    </vt:vector>
  </TitlesOfParts>
  <Company>Marsden Jacob Associates</Company>
  <LinksUpToDate>false</LinksUpToDate>
  <CharactersWithSpaces>107591</CharactersWithSpaces>
  <SharedDoc>false</SharedDoc>
  <HLinks>
    <vt:vector size="66" baseType="variant">
      <vt:variant>
        <vt:i4>1441853</vt:i4>
      </vt:variant>
      <vt:variant>
        <vt:i4>50</vt:i4>
      </vt:variant>
      <vt:variant>
        <vt:i4>0</vt:i4>
      </vt:variant>
      <vt:variant>
        <vt:i4>5</vt:i4>
      </vt:variant>
      <vt:variant>
        <vt:lpwstr/>
      </vt:variant>
      <vt:variant>
        <vt:lpwstr>_Toc416271832</vt:lpwstr>
      </vt:variant>
      <vt:variant>
        <vt:i4>1441853</vt:i4>
      </vt:variant>
      <vt:variant>
        <vt:i4>44</vt:i4>
      </vt:variant>
      <vt:variant>
        <vt:i4>0</vt:i4>
      </vt:variant>
      <vt:variant>
        <vt:i4>5</vt:i4>
      </vt:variant>
      <vt:variant>
        <vt:lpwstr/>
      </vt:variant>
      <vt:variant>
        <vt:lpwstr>_Toc416271831</vt:lpwstr>
      </vt:variant>
      <vt:variant>
        <vt:i4>1441853</vt:i4>
      </vt:variant>
      <vt:variant>
        <vt:i4>38</vt:i4>
      </vt:variant>
      <vt:variant>
        <vt:i4>0</vt:i4>
      </vt:variant>
      <vt:variant>
        <vt:i4>5</vt:i4>
      </vt:variant>
      <vt:variant>
        <vt:lpwstr/>
      </vt:variant>
      <vt:variant>
        <vt:lpwstr>_Toc416271830</vt:lpwstr>
      </vt:variant>
      <vt:variant>
        <vt:i4>1507389</vt:i4>
      </vt:variant>
      <vt:variant>
        <vt:i4>32</vt:i4>
      </vt:variant>
      <vt:variant>
        <vt:i4>0</vt:i4>
      </vt:variant>
      <vt:variant>
        <vt:i4>5</vt:i4>
      </vt:variant>
      <vt:variant>
        <vt:lpwstr/>
      </vt:variant>
      <vt:variant>
        <vt:lpwstr>_Toc416271829</vt:lpwstr>
      </vt:variant>
      <vt:variant>
        <vt:i4>1507389</vt:i4>
      </vt:variant>
      <vt:variant>
        <vt:i4>26</vt:i4>
      </vt:variant>
      <vt:variant>
        <vt:i4>0</vt:i4>
      </vt:variant>
      <vt:variant>
        <vt:i4>5</vt:i4>
      </vt:variant>
      <vt:variant>
        <vt:lpwstr/>
      </vt:variant>
      <vt:variant>
        <vt:lpwstr>_Toc416271828</vt:lpwstr>
      </vt:variant>
      <vt:variant>
        <vt:i4>1507389</vt:i4>
      </vt:variant>
      <vt:variant>
        <vt:i4>20</vt:i4>
      </vt:variant>
      <vt:variant>
        <vt:i4>0</vt:i4>
      </vt:variant>
      <vt:variant>
        <vt:i4>5</vt:i4>
      </vt:variant>
      <vt:variant>
        <vt:lpwstr/>
      </vt:variant>
      <vt:variant>
        <vt:lpwstr>_Toc416271827</vt:lpwstr>
      </vt:variant>
      <vt:variant>
        <vt:i4>1507389</vt:i4>
      </vt:variant>
      <vt:variant>
        <vt:i4>14</vt:i4>
      </vt:variant>
      <vt:variant>
        <vt:i4>0</vt:i4>
      </vt:variant>
      <vt:variant>
        <vt:i4>5</vt:i4>
      </vt:variant>
      <vt:variant>
        <vt:lpwstr/>
      </vt:variant>
      <vt:variant>
        <vt:lpwstr>_Toc416271826</vt:lpwstr>
      </vt:variant>
      <vt:variant>
        <vt:i4>1507389</vt:i4>
      </vt:variant>
      <vt:variant>
        <vt:i4>8</vt:i4>
      </vt:variant>
      <vt:variant>
        <vt:i4>0</vt:i4>
      </vt:variant>
      <vt:variant>
        <vt:i4>5</vt:i4>
      </vt:variant>
      <vt:variant>
        <vt:lpwstr/>
      </vt:variant>
      <vt:variant>
        <vt:lpwstr>_Toc416271825</vt:lpwstr>
      </vt:variant>
      <vt:variant>
        <vt:i4>1507389</vt:i4>
      </vt:variant>
      <vt:variant>
        <vt:i4>2</vt:i4>
      </vt:variant>
      <vt:variant>
        <vt:i4>0</vt:i4>
      </vt:variant>
      <vt:variant>
        <vt:i4>5</vt:i4>
      </vt:variant>
      <vt:variant>
        <vt:lpwstr/>
      </vt:variant>
      <vt:variant>
        <vt:lpwstr>_Toc416271824</vt:lpwstr>
      </vt:variant>
      <vt:variant>
        <vt:i4>1441810</vt:i4>
      </vt:variant>
      <vt:variant>
        <vt:i4>0</vt:i4>
      </vt:variant>
      <vt:variant>
        <vt:i4>0</vt:i4>
      </vt:variant>
      <vt:variant>
        <vt:i4>5</vt:i4>
      </vt:variant>
      <vt:variant>
        <vt:lpwstr>http://www.teebweb.org/wp-content/uploads/2013/04/D0-Chapter-1-Integrating-the-ecological-and-economic-dimensions-in-biodiversity-and-ecosystem-service-valuation.pdf</vt:lpwstr>
      </vt:variant>
      <vt:variant>
        <vt:lpwstr/>
      </vt:variant>
      <vt:variant>
        <vt:i4>2752547</vt:i4>
      </vt:variant>
      <vt:variant>
        <vt:i4>0</vt:i4>
      </vt:variant>
      <vt:variant>
        <vt:i4>0</vt:i4>
      </vt:variant>
      <vt:variant>
        <vt:i4>5</vt:i4>
      </vt:variant>
      <vt:variant>
        <vt:lpwstr>http://www.marsdenjacob.com.au/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economic impacts of active recreation in Victoria</dc:title>
  <dc:subject>The economic impacts of active recreation in Victoria</dc:subject>
  <dc:creator>Jeremy Cheesman &amp; Philip Jones</dc:creator>
  <cp:keywords>active recreation, economic impact</cp:keywords>
  <cp:lastModifiedBy>Phil Jones</cp:lastModifiedBy>
  <cp:revision>15</cp:revision>
  <cp:lastPrinted>2018-04-24T05:55:00Z</cp:lastPrinted>
  <dcterms:created xsi:type="dcterms:W3CDTF">2018-06-04T00:11:00Z</dcterms:created>
  <dcterms:modified xsi:type="dcterms:W3CDTF">2018-06-06T06:43:00Z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2014-11-02T00:00:00Z</vt:filetime>
  </property>
  <property fmtid="{D5CDD505-2E9C-101B-9397-08002B2CF9AE}" pid="3" name="LastSaved">
    <vt:filetime>2014-11-02T00:00:00Z</vt:filetime>
  </property>
</Properties>
</file>