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A28FD" w:rsidRDefault="00036725" w:rsidP="00AD784C">
      <w:pPr>
        <w:pStyle w:val="Spacerparatopoffirstpage"/>
        <w:rPr>
          <w:color w:val="FFFFFF"/>
        </w:rPr>
      </w:pPr>
      <w:r w:rsidRPr="004A28FD">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Decorative" style="position:absolute;margin-left:0;margin-top:0;width:596.1pt;height:91.4pt;z-index:-1;mso-position-horizontal-relative:page;mso-position-vertical-relative:page" o:allowincell="f">
            <v:imagedata r:id="rId7" o:title="Factsheet Banner Portrait 13 Minister Red 1805"/>
            <w10:wrap anchorx="page" anchory="page"/>
            <w10:anchorlock/>
          </v:shape>
        </w:pict>
      </w:r>
    </w:p>
    <w:p w:rsidR="00A62D44" w:rsidRPr="004A28FD" w:rsidRDefault="00A62D44" w:rsidP="004C6EEE">
      <w:pPr>
        <w:pStyle w:val="Sectionbreakfirstpage"/>
        <w:rPr>
          <w:color w:val="FFFFFF"/>
        </w:rPr>
        <w:sectPr w:rsidR="00A62D44" w:rsidRPr="004A28FD" w:rsidSect="00AD784C">
          <w:footerReference w:type="default" r:id="rId8"/>
          <w:pgSz w:w="11906" w:h="16838" w:code="9"/>
          <w:pgMar w:top="567" w:right="851" w:bottom="1418" w:left="851" w:header="510" w:footer="510" w:gutter="0"/>
          <w:cols w:space="708"/>
          <w:docGrid w:linePitch="360"/>
        </w:sectPr>
      </w:pPr>
    </w:p>
    <w:p w:rsidR="00B2752E" w:rsidRPr="004A28FD" w:rsidRDefault="00ED5CC2" w:rsidP="007678AA">
      <w:pPr>
        <w:pStyle w:val="DHHSTOCheadingfactsheet"/>
        <w:rPr>
          <w:color w:val="FFFFFF"/>
        </w:rPr>
      </w:pPr>
      <w:r w:rsidRPr="004A28FD">
        <w:rPr>
          <w:color w:val="FFFFFF"/>
        </w:rPr>
        <w:lastRenderedPageBreak/>
        <w:t>Player Amenities and Change</w:t>
      </w:r>
      <w:bookmarkStart w:id="0" w:name="_GoBack"/>
      <w:bookmarkEnd w:id="0"/>
      <w:r w:rsidR="00B44DCF" w:rsidRPr="004A28FD">
        <w:rPr>
          <w:color w:val="FFFFFF"/>
        </w:rPr>
        <w:t xml:space="preserve"> Transcript</w:t>
      </w:r>
    </w:p>
    <w:p w:rsidR="00B44DCF" w:rsidRDefault="00B44DCF" w:rsidP="00B44DCF">
      <w:pPr>
        <w:pStyle w:val="DHHSbody"/>
      </w:pPr>
    </w:p>
    <w:p w:rsidR="00B44DCF" w:rsidRDefault="00B44DCF" w:rsidP="00B44DCF">
      <w:pPr>
        <w:pStyle w:val="DHHSbody"/>
      </w:pPr>
    </w:p>
    <w:p w:rsidR="00B44DCF" w:rsidRDefault="00B44DCF" w:rsidP="00B44DCF">
      <w:pPr>
        <w:pStyle w:val="DHHSbody"/>
      </w:pPr>
    </w:p>
    <w:p w:rsidR="00B44DCF" w:rsidRPr="00B16F25" w:rsidRDefault="00B44DCF" w:rsidP="00B44DCF">
      <w:pPr>
        <w:pStyle w:val="DHHSbody"/>
        <w:rPr>
          <w:sz w:val="24"/>
          <w:szCs w:val="24"/>
        </w:rPr>
      </w:pPr>
      <w:r w:rsidRPr="00B16F25">
        <w:rPr>
          <w:sz w:val="24"/>
          <w:szCs w:val="24"/>
        </w:rPr>
        <w:t>LEGEND:</w:t>
      </w:r>
    </w:p>
    <w:p w:rsidR="00AF1189" w:rsidRPr="00B16F25" w:rsidRDefault="00AF1189" w:rsidP="00AF1189">
      <w:pPr>
        <w:pStyle w:val="DHHSbody"/>
        <w:numPr>
          <w:ilvl w:val="0"/>
          <w:numId w:val="9"/>
        </w:numPr>
        <w:rPr>
          <w:sz w:val="24"/>
          <w:szCs w:val="24"/>
        </w:rPr>
      </w:pPr>
      <w:r>
        <w:rPr>
          <w:sz w:val="24"/>
          <w:szCs w:val="24"/>
        </w:rPr>
        <w:t>Provide direct access from amenities to players’ change rooms. Re</w:t>
      </w:r>
      <w:r w:rsidR="00ED5CC2">
        <w:rPr>
          <w:sz w:val="24"/>
          <w:szCs w:val="24"/>
        </w:rPr>
        <w:t>f</w:t>
      </w:r>
      <w:r>
        <w:rPr>
          <w:sz w:val="24"/>
          <w:szCs w:val="24"/>
        </w:rPr>
        <w:t>er to relevant sporting facilities preferred guidelines and regulatory requirements for amenities and change room numbers and sizes. Total number of required plumbing fixtures to suit sporting codes on site and relevant authorities.</w:t>
      </w:r>
    </w:p>
    <w:p w:rsidR="00072272" w:rsidRDefault="00ED5CC2" w:rsidP="00B44DCF">
      <w:pPr>
        <w:pStyle w:val="DHHSbody"/>
        <w:numPr>
          <w:ilvl w:val="0"/>
          <w:numId w:val="9"/>
        </w:numPr>
        <w:rPr>
          <w:sz w:val="24"/>
          <w:szCs w:val="24"/>
        </w:rPr>
      </w:pPr>
      <w:r>
        <w:rPr>
          <w:sz w:val="24"/>
          <w:szCs w:val="24"/>
        </w:rPr>
        <w:t>Provide direct access from change rooms to playing fields with minimal level changes.</w:t>
      </w:r>
    </w:p>
    <w:p w:rsidR="00ED5CC2" w:rsidRDefault="00ED5CC2" w:rsidP="00B44DCF">
      <w:pPr>
        <w:pStyle w:val="DHHSbody"/>
        <w:numPr>
          <w:ilvl w:val="0"/>
          <w:numId w:val="9"/>
        </w:numPr>
        <w:rPr>
          <w:sz w:val="24"/>
          <w:szCs w:val="24"/>
        </w:rPr>
      </w:pPr>
      <w:r>
        <w:rPr>
          <w:sz w:val="24"/>
          <w:szCs w:val="24"/>
        </w:rPr>
        <w:t>Direct access to secondary playing fields is desirable where possible.</w:t>
      </w:r>
    </w:p>
    <w:p w:rsidR="00ED5CC2" w:rsidRDefault="00ED5CC2" w:rsidP="00B44DCF">
      <w:pPr>
        <w:pStyle w:val="DHHSbody"/>
        <w:numPr>
          <w:ilvl w:val="0"/>
          <w:numId w:val="9"/>
        </w:numPr>
        <w:rPr>
          <w:sz w:val="24"/>
          <w:szCs w:val="24"/>
        </w:rPr>
      </w:pPr>
      <w:r>
        <w:rPr>
          <w:sz w:val="24"/>
          <w:szCs w:val="24"/>
        </w:rPr>
        <w:t>Provide roller shutter or similar fixtures to open up change rooms and amenities to allow flexibility in use by all genders and ease of cleaning.</w:t>
      </w:r>
    </w:p>
    <w:p w:rsidR="00ED5CC2" w:rsidRDefault="00ED5CC2" w:rsidP="00B44DCF">
      <w:pPr>
        <w:pStyle w:val="DHHSbody"/>
        <w:numPr>
          <w:ilvl w:val="0"/>
          <w:numId w:val="9"/>
        </w:numPr>
        <w:rPr>
          <w:sz w:val="24"/>
          <w:szCs w:val="24"/>
        </w:rPr>
      </w:pPr>
      <w:r>
        <w:rPr>
          <w:sz w:val="24"/>
          <w:szCs w:val="24"/>
        </w:rPr>
        <w:t>Direct access from storeroom to change rooms is desirable.</w:t>
      </w:r>
    </w:p>
    <w:p w:rsidR="00ED5CC2" w:rsidRDefault="00ED5CC2" w:rsidP="00B44DCF">
      <w:pPr>
        <w:pStyle w:val="DHHSbody"/>
        <w:numPr>
          <w:ilvl w:val="0"/>
          <w:numId w:val="9"/>
        </w:numPr>
        <w:rPr>
          <w:sz w:val="24"/>
          <w:szCs w:val="24"/>
        </w:rPr>
      </w:pPr>
      <w:r>
        <w:rPr>
          <w:sz w:val="24"/>
          <w:szCs w:val="24"/>
        </w:rPr>
        <w:t>Provide privacy screens to entry of change rooms.</w:t>
      </w:r>
    </w:p>
    <w:p w:rsidR="00ED5CC2" w:rsidRDefault="00ED5CC2" w:rsidP="00B44DCF">
      <w:pPr>
        <w:pStyle w:val="DHHSbody"/>
        <w:numPr>
          <w:ilvl w:val="0"/>
          <w:numId w:val="9"/>
        </w:numPr>
        <w:rPr>
          <w:sz w:val="24"/>
          <w:szCs w:val="24"/>
        </w:rPr>
      </w:pPr>
      <w:r>
        <w:rPr>
          <w:sz w:val="24"/>
          <w:szCs w:val="24"/>
        </w:rPr>
        <w:t>Provide individual toilet cubicles and avoid urinals for unisex use.</w:t>
      </w:r>
    </w:p>
    <w:p w:rsidR="00ED5CC2" w:rsidRDefault="00ED5CC2" w:rsidP="00B44DCF">
      <w:pPr>
        <w:pStyle w:val="DHHSbody"/>
        <w:numPr>
          <w:ilvl w:val="0"/>
          <w:numId w:val="9"/>
        </w:numPr>
        <w:rPr>
          <w:sz w:val="24"/>
          <w:szCs w:val="24"/>
        </w:rPr>
      </w:pPr>
      <w:r>
        <w:rPr>
          <w:sz w:val="24"/>
          <w:szCs w:val="24"/>
        </w:rPr>
        <w:t>Provide individual lockable cubicle showers with change seats inside each cubicle to enhance privacy for users.</w:t>
      </w:r>
    </w:p>
    <w:p w:rsidR="00ED5CC2" w:rsidRPr="00B16F25" w:rsidRDefault="00ED5CC2" w:rsidP="00B44DCF">
      <w:pPr>
        <w:pStyle w:val="DHHSbody"/>
        <w:numPr>
          <w:ilvl w:val="0"/>
          <w:numId w:val="9"/>
        </w:numPr>
        <w:rPr>
          <w:sz w:val="24"/>
          <w:szCs w:val="24"/>
        </w:rPr>
      </w:pPr>
      <w:r>
        <w:rPr>
          <w:sz w:val="24"/>
          <w:szCs w:val="24"/>
        </w:rPr>
        <w:t>Provide vanity/shelves for personal items and power points for hair dryers and other accessories near the washbasins to encourage female use.</w:t>
      </w:r>
    </w:p>
    <w:sectPr w:rsidR="00ED5CC2" w:rsidRPr="00B16F25"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FD" w:rsidRDefault="004A28FD">
      <w:r>
        <w:separator/>
      </w:r>
    </w:p>
  </w:endnote>
  <w:endnote w:type="continuationSeparator" w:id="0">
    <w:p w:rsidR="004A28FD" w:rsidRDefault="004A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A5B32" w:rsidP="0051568D">
    <w:pPr>
      <w:pStyle w:val="DHHS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1;mso-position-horizontal-relative:page;mso-position-vertical-relative:page" o:allowincell="f">
          <v:imagedata r:id="rId1" o:title="Factsheet Footer Portrait All"/>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7678AA">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FD" w:rsidRDefault="004A28FD" w:rsidP="002862F1">
      <w:pPr>
        <w:spacing w:before="120"/>
      </w:pPr>
      <w:r>
        <w:separator/>
      </w:r>
    </w:p>
  </w:footnote>
  <w:footnote w:type="continuationSeparator" w:id="0">
    <w:p w:rsidR="004A28FD" w:rsidRDefault="004A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F6869F6"/>
    <w:multiLevelType w:val="hybridMultilevel"/>
    <w:tmpl w:val="B05C4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CF"/>
    <w:rsid w:val="000072B6"/>
    <w:rsid w:val="0001021B"/>
    <w:rsid w:val="00011D89"/>
    <w:rsid w:val="00024D89"/>
    <w:rsid w:val="000250B6"/>
    <w:rsid w:val="00033D81"/>
    <w:rsid w:val="00036725"/>
    <w:rsid w:val="00041BF0"/>
    <w:rsid w:val="0004536B"/>
    <w:rsid w:val="00046B68"/>
    <w:rsid w:val="000527DD"/>
    <w:rsid w:val="000578B2"/>
    <w:rsid w:val="00060959"/>
    <w:rsid w:val="000663CD"/>
    <w:rsid w:val="00072272"/>
    <w:rsid w:val="00072B62"/>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495C"/>
    <w:rsid w:val="00457337"/>
    <w:rsid w:val="0047372D"/>
    <w:rsid w:val="004743DD"/>
    <w:rsid w:val="00474CEA"/>
    <w:rsid w:val="00483968"/>
    <w:rsid w:val="00484F86"/>
    <w:rsid w:val="00490746"/>
    <w:rsid w:val="00490852"/>
    <w:rsid w:val="00492F30"/>
    <w:rsid w:val="004946F4"/>
    <w:rsid w:val="0049487E"/>
    <w:rsid w:val="004A160D"/>
    <w:rsid w:val="004A28FD"/>
    <w:rsid w:val="004A3E81"/>
    <w:rsid w:val="004A5C62"/>
    <w:rsid w:val="004A5D08"/>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55B1"/>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78AA"/>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05B"/>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1992"/>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1189"/>
    <w:rsid w:val="00AF26F3"/>
    <w:rsid w:val="00AF5F04"/>
    <w:rsid w:val="00B00672"/>
    <w:rsid w:val="00B01B4D"/>
    <w:rsid w:val="00B06571"/>
    <w:rsid w:val="00B068BA"/>
    <w:rsid w:val="00B13851"/>
    <w:rsid w:val="00B13B1C"/>
    <w:rsid w:val="00B16F25"/>
    <w:rsid w:val="00B22291"/>
    <w:rsid w:val="00B23F9A"/>
    <w:rsid w:val="00B2417B"/>
    <w:rsid w:val="00B24E6F"/>
    <w:rsid w:val="00B26CB5"/>
    <w:rsid w:val="00B2752E"/>
    <w:rsid w:val="00B307CC"/>
    <w:rsid w:val="00B326B7"/>
    <w:rsid w:val="00B431E8"/>
    <w:rsid w:val="00B44DCF"/>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558B"/>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22EC"/>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25F3"/>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5CC2"/>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FB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2E5"/>
    <w:rsid w:val="00F815B5"/>
    <w:rsid w:val="00F85195"/>
    <w:rsid w:val="00F938BA"/>
    <w:rsid w:val="00FA2C46"/>
    <w:rsid w:val="00FA3525"/>
    <w:rsid w:val="00FB4CDA"/>
    <w:rsid w:val="00FC0F81"/>
    <w:rsid w:val="00FC395C"/>
    <w:rsid w:val="00FD3766"/>
    <w:rsid w:val="00FD47C4"/>
    <w:rsid w:val="00FE2DCF"/>
    <w:rsid w:val="00FF2FCE"/>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ya0605\AppData\Local\Temp\notes70BFA2\DHHS%20Factsheet%2013%20Minister%20Red%2018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13 Minister Red 1805</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1085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Ryan</dc:creator>
  <cp:lastModifiedBy>Daley Ryan</cp:lastModifiedBy>
  <cp:revision>2</cp:revision>
  <cp:lastPrinted>2015-08-21T04:17:00Z</cp:lastPrinted>
  <dcterms:created xsi:type="dcterms:W3CDTF">2016-08-04T07:25:00Z</dcterms:created>
  <dcterms:modified xsi:type="dcterms:W3CDTF">2016-08-04T07:25:00Z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