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D44" w:rsidRPr="004C6EEE" w:rsidRDefault="00A62D44" w:rsidP="004C6EEE">
      <w:pPr>
        <w:pStyle w:val="Sectionbreakfirstpage"/>
        <w:sectPr w:rsidR="00A62D44" w:rsidRPr="004C6EEE" w:rsidSect="00954C9C">
          <w:headerReference w:type="default" r:id="rId8"/>
          <w:footerReference w:type="default" r:id="rId9"/>
          <w:footerReference w:type="first" r:id="rId10"/>
          <w:pgSz w:w="11906" w:h="16838" w:code="9"/>
          <w:pgMar w:top="851" w:right="851" w:bottom="1418" w:left="851" w:header="284" w:footer="510" w:gutter="0"/>
          <w:cols w:space="708"/>
          <w:docGrid w:linePitch="360"/>
        </w:sectPr>
      </w:pPr>
      <w:bookmarkStart w:id="0" w:name="_GoBack"/>
      <w:bookmarkEnd w:id="0"/>
    </w:p>
    <w:p w:rsidR="00295131" w:rsidRPr="00740DBD" w:rsidRDefault="00295131" w:rsidP="00954C9C">
      <w:pPr>
        <w:pStyle w:val="Heading3"/>
        <w:rPr>
          <w:rFonts w:ascii="Calibri" w:hAnsi="Calibri"/>
          <w:iCs/>
          <w:sz w:val="28"/>
          <w:szCs w:val="28"/>
        </w:rPr>
      </w:pPr>
      <w:bookmarkStart w:id="1" w:name="_Toc256778633"/>
      <w:r w:rsidRPr="00740DBD">
        <w:rPr>
          <w:rFonts w:ascii="Calibri" w:hAnsi="Calibri"/>
          <w:iCs/>
          <w:sz w:val="28"/>
          <w:szCs w:val="28"/>
        </w:rPr>
        <w:t>Competitive Neutrality Policy</w:t>
      </w:r>
    </w:p>
    <w:p w:rsidR="00295131" w:rsidRPr="00AE3D4B" w:rsidRDefault="00295131" w:rsidP="001E5718">
      <w:pPr>
        <w:pStyle w:val="Heading3"/>
        <w:rPr>
          <w:rFonts w:ascii="Calibri" w:eastAsia="Times" w:hAnsi="Calibri"/>
          <w:b w:val="0"/>
          <w:bCs w:val="0"/>
          <w:sz w:val="22"/>
          <w:szCs w:val="22"/>
        </w:rPr>
      </w:pPr>
      <w:r w:rsidRPr="00AE3D4B">
        <w:rPr>
          <w:rFonts w:ascii="Calibri" w:eastAsia="Times" w:hAnsi="Calibri"/>
          <w:b w:val="0"/>
          <w:bCs w:val="0"/>
          <w:sz w:val="22"/>
          <w:szCs w:val="22"/>
        </w:rPr>
        <w:t xml:space="preserve">Under the Council of Australian Government’s Competition Principles Agreement, Victoria is obliged to apply the Government's Competitive Neutrality Policy to all significant business activities undertaken by government agencies and local governments to allow private businesses (of all sizes) to compete on a fair and equitable basis. </w:t>
      </w:r>
    </w:p>
    <w:p w:rsidR="00295131" w:rsidRPr="00AE3D4B" w:rsidRDefault="00295131" w:rsidP="001E5718">
      <w:pPr>
        <w:pStyle w:val="Heading3"/>
        <w:rPr>
          <w:rFonts w:ascii="Calibri" w:eastAsia="Times" w:hAnsi="Calibri"/>
          <w:b w:val="0"/>
          <w:bCs w:val="0"/>
          <w:sz w:val="22"/>
          <w:szCs w:val="22"/>
        </w:rPr>
      </w:pPr>
      <w:r w:rsidRPr="00AE3D4B">
        <w:rPr>
          <w:rFonts w:ascii="Calibri" w:eastAsia="Times" w:hAnsi="Calibri"/>
          <w:b w:val="0"/>
          <w:bCs w:val="0"/>
          <w:sz w:val="22"/>
          <w:szCs w:val="22"/>
        </w:rPr>
        <w:t xml:space="preserve">The aim of competitive neutrality is to remove resource allocation distortions by ensuring that government businesses do not enjoy any net competitive advantage over private business operators simply as a result of their public sector ownership. </w:t>
      </w:r>
    </w:p>
    <w:p w:rsidR="00295131" w:rsidRPr="00AE3D4B" w:rsidRDefault="00295131" w:rsidP="001E5718">
      <w:pPr>
        <w:pStyle w:val="Heading3"/>
        <w:rPr>
          <w:rFonts w:ascii="Calibri" w:eastAsia="Times" w:hAnsi="Calibri"/>
          <w:b w:val="0"/>
          <w:bCs w:val="0"/>
          <w:sz w:val="22"/>
          <w:szCs w:val="22"/>
        </w:rPr>
      </w:pPr>
      <w:r w:rsidRPr="00AE3D4B">
        <w:rPr>
          <w:rFonts w:ascii="Calibri" w:eastAsia="Times" w:hAnsi="Calibri"/>
          <w:b w:val="0"/>
          <w:bCs w:val="0"/>
          <w:sz w:val="22"/>
          <w:szCs w:val="22"/>
        </w:rPr>
        <w:t>Competitive neutrality is one of a range of policy tools designed to help governments achieve a more efficient allocation of resources and be transparent in their decision making processes in respect of their business undertakings.</w:t>
      </w:r>
    </w:p>
    <w:p w:rsidR="00295131" w:rsidRPr="00AE3D4B" w:rsidRDefault="00295131" w:rsidP="001E5718">
      <w:pPr>
        <w:pStyle w:val="Heading3"/>
        <w:rPr>
          <w:rFonts w:ascii="Calibri" w:eastAsia="Times" w:hAnsi="Calibri"/>
          <w:b w:val="0"/>
          <w:bCs w:val="0"/>
          <w:sz w:val="22"/>
          <w:szCs w:val="22"/>
        </w:rPr>
      </w:pPr>
      <w:r w:rsidRPr="00AE3D4B">
        <w:rPr>
          <w:rFonts w:ascii="Calibri" w:eastAsia="Times" w:hAnsi="Calibri"/>
          <w:b w:val="0"/>
          <w:bCs w:val="0"/>
          <w:sz w:val="22"/>
          <w:szCs w:val="22"/>
        </w:rPr>
        <w:t>Applicants are reminded that it is the responsibility of local government to determine if their activities fall within the scope of the Competitive Neutrality Policy. Where the project proposal results in local government operating a significant business activity the local authority is required to consider what actions are to be undertaken to ensure compliance with Competitive Neutrality Policy.</w:t>
      </w:r>
    </w:p>
    <w:p w:rsidR="00295131" w:rsidRPr="00AE3D4B" w:rsidRDefault="00295131" w:rsidP="001E5718">
      <w:pPr>
        <w:pStyle w:val="Heading3"/>
        <w:rPr>
          <w:rFonts w:ascii="Calibri" w:eastAsia="Times" w:hAnsi="Calibri"/>
          <w:b w:val="0"/>
          <w:bCs w:val="0"/>
          <w:sz w:val="22"/>
          <w:szCs w:val="22"/>
        </w:rPr>
      </w:pPr>
      <w:r w:rsidRPr="00AE3D4B">
        <w:rPr>
          <w:rFonts w:ascii="Calibri" w:eastAsia="Times" w:hAnsi="Calibri"/>
          <w:b w:val="0"/>
          <w:bCs w:val="0"/>
          <w:sz w:val="22"/>
          <w:szCs w:val="22"/>
        </w:rPr>
        <w:t xml:space="preserve">Councils should contact </w:t>
      </w:r>
      <w:r w:rsidR="00651B01">
        <w:rPr>
          <w:rFonts w:ascii="Calibri" w:eastAsia="Times" w:hAnsi="Calibri"/>
          <w:b w:val="0"/>
          <w:bCs w:val="0"/>
          <w:sz w:val="22"/>
          <w:szCs w:val="22"/>
        </w:rPr>
        <w:t>the Office of the Commission for Better Regulation</w:t>
      </w:r>
      <w:r w:rsidRPr="00AE3D4B">
        <w:rPr>
          <w:rFonts w:ascii="Calibri" w:eastAsia="Times" w:hAnsi="Calibri"/>
          <w:b w:val="0"/>
          <w:bCs w:val="0"/>
          <w:sz w:val="22"/>
          <w:szCs w:val="22"/>
        </w:rPr>
        <w:t xml:space="preserve"> for advice regarding the application of Competitive Neutrality Policy to project proposals. For competitive neutrality enquiries please telephone </w:t>
      </w:r>
      <w:r w:rsidR="00651B01">
        <w:rPr>
          <w:rFonts w:ascii="Calibri" w:eastAsia="Times" w:hAnsi="Calibri"/>
          <w:b w:val="0"/>
          <w:bCs w:val="0"/>
          <w:sz w:val="22"/>
          <w:szCs w:val="22"/>
        </w:rPr>
        <w:br/>
        <w:t>(03) 9092 5800</w:t>
      </w:r>
      <w:r w:rsidRPr="00AE3D4B">
        <w:rPr>
          <w:rFonts w:ascii="Calibri" w:eastAsia="Times" w:hAnsi="Calibri"/>
          <w:b w:val="0"/>
          <w:bCs w:val="0"/>
          <w:sz w:val="22"/>
          <w:szCs w:val="22"/>
        </w:rPr>
        <w:t>.</w:t>
      </w:r>
    </w:p>
    <w:p w:rsidR="00295131" w:rsidRPr="00AE3D4B" w:rsidRDefault="00295131" w:rsidP="001E5718">
      <w:pPr>
        <w:pStyle w:val="DHHSbody"/>
        <w:rPr>
          <w:rFonts w:ascii="Calibri" w:hAnsi="Calibri"/>
          <w:sz w:val="22"/>
          <w:szCs w:val="22"/>
        </w:rPr>
      </w:pPr>
      <w:r w:rsidRPr="00AE3D4B">
        <w:rPr>
          <w:rFonts w:ascii="Calibri" w:hAnsi="Calibri"/>
          <w:sz w:val="22"/>
          <w:szCs w:val="22"/>
        </w:rPr>
        <w:t>The Government’s Competitive Neutrality Policy states how competitive neutrality can benefit all Victorians by:</w:t>
      </w:r>
    </w:p>
    <w:p w:rsidR="00295131" w:rsidRPr="00AE3D4B" w:rsidRDefault="00295131" w:rsidP="001E5718">
      <w:pPr>
        <w:pStyle w:val="DHHSbody"/>
        <w:numPr>
          <w:ilvl w:val="0"/>
          <w:numId w:val="50"/>
        </w:numPr>
        <w:rPr>
          <w:rFonts w:ascii="Calibri" w:hAnsi="Calibri"/>
          <w:sz w:val="22"/>
          <w:szCs w:val="22"/>
        </w:rPr>
      </w:pPr>
      <w:r w:rsidRPr="00AE3D4B">
        <w:rPr>
          <w:rFonts w:ascii="Calibri" w:hAnsi="Calibri"/>
          <w:sz w:val="22"/>
          <w:szCs w:val="22"/>
        </w:rPr>
        <w:t>increasing the incentives for business to operate efficiently thereby encouraging better use of the community’s scarce resources; and</w:t>
      </w:r>
    </w:p>
    <w:p w:rsidR="00295131" w:rsidRPr="00AE3D4B" w:rsidRDefault="00295131" w:rsidP="001E5718">
      <w:pPr>
        <w:pStyle w:val="DHHSbody"/>
        <w:numPr>
          <w:ilvl w:val="0"/>
          <w:numId w:val="50"/>
        </w:numPr>
        <w:rPr>
          <w:rFonts w:ascii="Calibri" w:hAnsi="Calibri"/>
          <w:sz w:val="22"/>
          <w:szCs w:val="22"/>
        </w:rPr>
      </w:pPr>
      <w:r w:rsidRPr="00AE3D4B">
        <w:rPr>
          <w:rFonts w:ascii="Calibri" w:hAnsi="Calibri"/>
          <w:sz w:val="22"/>
          <w:szCs w:val="22"/>
        </w:rPr>
        <w:t>enhancing the confidence of business to make decisions on investments in the State.</w:t>
      </w:r>
    </w:p>
    <w:p w:rsidR="004369A3" w:rsidRPr="00AE3D4B" w:rsidRDefault="00295131" w:rsidP="001E5718">
      <w:pPr>
        <w:pStyle w:val="Heading3"/>
        <w:rPr>
          <w:rFonts w:ascii="Calibri" w:eastAsia="Times" w:hAnsi="Calibri"/>
          <w:b w:val="0"/>
          <w:bCs w:val="0"/>
          <w:sz w:val="22"/>
          <w:szCs w:val="22"/>
        </w:rPr>
      </w:pPr>
      <w:r w:rsidRPr="00AE3D4B">
        <w:rPr>
          <w:rFonts w:ascii="Calibri" w:eastAsia="Times" w:hAnsi="Calibri"/>
          <w:b w:val="0"/>
          <w:bCs w:val="0"/>
          <w:sz w:val="22"/>
          <w:szCs w:val="22"/>
        </w:rPr>
        <w:t xml:space="preserve">The Competitive Neutrality Policy, guidelines and findings on investigated cases can be found at </w:t>
      </w:r>
      <w:hyperlink r:id="rId11" w:history="1">
        <w:r w:rsidR="00651B01" w:rsidRPr="00FE0B4A">
          <w:rPr>
            <w:rStyle w:val="Hyperlink"/>
            <w:rFonts w:ascii="Calibri" w:eastAsia="Times" w:hAnsi="Calibri"/>
            <w:b w:val="0"/>
            <w:bCs w:val="0"/>
            <w:sz w:val="22"/>
            <w:szCs w:val="22"/>
          </w:rPr>
          <w:t>www.betterregulation.vic.gov.au</w:t>
        </w:r>
      </w:hyperlink>
      <w:r w:rsidR="00BA3620" w:rsidRPr="00AE3D4B">
        <w:rPr>
          <w:rFonts w:ascii="Calibri" w:eastAsia="Times" w:hAnsi="Calibri"/>
          <w:b w:val="0"/>
          <w:bCs w:val="0"/>
          <w:sz w:val="22"/>
          <w:szCs w:val="22"/>
        </w:rPr>
        <w:t xml:space="preserve">. </w:t>
      </w:r>
      <w:bookmarkEnd w:id="1"/>
    </w:p>
    <w:p w:rsidR="00AE0980" w:rsidRDefault="00AE0980" w:rsidP="00AE0980">
      <w:pPr>
        <w:pStyle w:val="DHHSbody"/>
      </w:pPr>
    </w:p>
    <w:p w:rsidR="00651B01" w:rsidRDefault="00651B01" w:rsidP="00AE0980">
      <w:pPr>
        <w:pStyle w:val="DHHSbody"/>
      </w:pPr>
    </w:p>
    <w:p w:rsidR="00651B01" w:rsidRPr="00AE0980" w:rsidRDefault="00651B01" w:rsidP="00AE0980">
      <w:pPr>
        <w:pStyle w:val="DHHSbody"/>
      </w:pPr>
    </w:p>
    <w:p w:rsidR="004369A3" w:rsidRPr="004369A3" w:rsidRDefault="004369A3" w:rsidP="004369A3">
      <w:pPr>
        <w:pStyle w:val="DHHSbody"/>
      </w:pPr>
    </w:p>
    <w:tbl>
      <w:tblPr>
        <w:tblW w:w="4895" w:type="pct"/>
        <w:tblInd w:w="113" w:type="dxa"/>
        <w:tblCellMar>
          <w:top w:w="113" w:type="dxa"/>
          <w:bottom w:w="57" w:type="dxa"/>
        </w:tblCellMar>
        <w:tblLook w:val="00A0" w:firstRow="1" w:lastRow="0" w:firstColumn="1" w:lastColumn="0" w:noHBand="0" w:noVBand="0"/>
      </w:tblPr>
      <w:tblGrid>
        <w:gridCol w:w="10201"/>
      </w:tblGrid>
      <w:tr w:rsidR="004369A3" w:rsidRPr="002802E3" w:rsidTr="004369A3">
        <w:trPr>
          <w:cantSplit/>
        </w:trPr>
        <w:tc>
          <w:tcPr>
            <w:tcW w:w="10201" w:type="dxa"/>
            <w:tcBorders>
              <w:top w:val="single" w:sz="4" w:space="0" w:color="auto"/>
              <w:left w:val="single" w:sz="4" w:space="0" w:color="auto"/>
              <w:bottom w:val="single" w:sz="4" w:space="0" w:color="auto"/>
              <w:right w:val="single" w:sz="4" w:space="0" w:color="auto"/>
            </w:tcBorders>
            <w:vAlign w:val="bottom"/>
          </w:tcPr>
          <w:p w:rsidR="00F43E04" w:rsidRPr="00F43E04" w:rsidRDefault="00F43E04" w:rsidP="00F43E04">
            <w:pPr>
              <w:spacing w:after="120" w:line="300" w:lineRule="exact"/>
              <w:rPr>
                <w:rFonts w:ascii="Calibri" w:hAnsi="Calibri"/>
                <w:sz w:val="22"/>
                <w:szCs w:val="24"/>
              </w:rPr>
            </w:pPr>
            <w:r w:rsidRPr="00F43E04">
              <w:rPr>
                <w:rFonts w:ascii="Calibri" w:hAnsi="Calibri"/>
                <w:sz w:val="22"/>
                <w:szCs w:val="24"/>
              </w:rPr>
              <w:t>To receive this publication in an accessible format please phone</w:t>
            </w:r>
            <w:r w:rsidRPr="00F43E04">
              <w:rPr>
                <w:rFonts w:ascii="Calibri" w:hAnsi="Calibri"/>
                <w:color w:val="CC0066"/>
                <w:sz w:val="22"/>
                <w:szCs w:val="24"/>
              </w:rPr>
              <w:t xml:space="preserve"> </w:t>
            </w:r>
            <w:r w:rsidRPr="00F43E04">
              <w:rPr>
                <w:rFonts w:ascii="Calibri" w:hAnsi="Calibri"/>
                <w:sz w:val="22"/>
                <w:szCs w:val="24"/>
              </w:rPr>
              <w:t>the National Relay Service on 13 36 77.</w:t>
            </w:r>
          </w:p>
          <w:p w:rsidR="00F43E04" w:rsidRPr="00F43E04" w:rsidRDefault="00F43E04" w:rsidP="00F43E04">
            <w:pPr>
              <w:spacing w:after="120" w:line="270" w:lineRule="atLeast"/>
              <w:rPr>
                <w:rFonts w:ascii="Calibri" w:eastAsia="Times" w:hAnsi="Calibri"/>
              </w:rPr>
            </w:pPr>
            <w:r w:rsidRPr="00F43E04">
              <w:rPr>
                <w:rFonts w:ascii="Calibri" w:eastAsia="Times" w:hAnsi="Calibri"/>
              </w:rPr>
              <w:t>Authorised and published by the Victorian Government.</w:t>
            </w:r>
          </w:p>
          <w:p w:rsidR="004369A3" w:rsidRPr="00664537" w:rsidRDefault="00F43E04" w:rsidP="00F43E04">
            <w:pPr>
              <w:spacing w:after="120" w:line="270" w:lineRule="atLeast"/>
              <w:rPr>
                <w:rFonts w:ascii="Arial" w:eastAsia="Times" w:hAnsi="Arial"/>
                <w:szCs w:val="19"/>
                <w:lang w:val="en-US"/>
              </w:rPr>
            </w:pPr>
            <w:r w:rsidRPr="00F43E04">
              <w:rPr>
                <w:rFonts w:ascii="Calibri" w:eastAsia="Times" w:hAnsi="Calibri"/>
              </w:rPr>
              <w:t>© State of Victoria, 2019. 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tc>
      </w:tr>
    </w:tbl>
    <w:p w:rsidR="004369A3" w:rsidRPr="004369A3" w:rsidRDefault="004369A3" w:rsidP="00651B01">
      <w:pPr>
        <w:pStyle w:val="DHHSbody"/>
      </w:pPr>
    </w:p>
    <w:sectPr w:rsidR="004369A3" w:rsidRPr="004369A3" w:rsidSect="00954C9C">
      <w:headerReference w:type="default" r:id="rId12"/>
      <w:footerReference w:type="default" r:id="rId13"/>
      <w:type w:val="continuous"/>
      <w:pgSz w:w="11906" w:h="16838"/>
      <w:pgMar w:top="1418" w:right="851" w:bottom="0" w:left="851" w:header="284"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6DF" w:rsidRDefault="005356DF">
      <w:r>
        <w:separator/>
      </w:r>
    </w:p>
  </w:endnote>
  <w:endnote w:type="continuationSeparator" w:id="0">
    <w:p w:rsidR="005356DF" w:rsidRDefault="0053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BD4" w:rsidRPr="00F65AA9" w:rsidRDefault="001F72A0" w:rsidP="00DD5BE3">
    <w:pPr>
      <w:pStyle w:val="Footerfirstpage"/>
      <w:tabs>
        <w:tab w:val="clear" w:pos="9923"/>
      </w:tabs>
    </w:pPr>
    <w:r w:rsidRPr="00FA25C8">
      <w:rPr>
        <w:rFonts w:ascii="Calibri" w:hAnsi="Calibri"/>
      </w:rPr>
      <w:t>Competitive Neurality</w:t>
    </w:r>
    <w:r w:rsidR="00C80803" w:rsidRPr="00FA25C8">
      <w:rPr>
        <w:rFonts w:ascii="Calibri" w:hAnsi="Calibri"/>
      </w:rPr>
      <w:t xml:space="preserve"> – Fact Sheet</w:t>
    </w:r>
    <w:r>
      <w:tab/>
    </w:r>
    <w:r w:rsidR="005356D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8pt;height:45.15pt">
          <v:imagedata r:id="rId1" o:title="Brand Victoria State Gov DJPR black rgb" cropright="28721f"/>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BD4" w:rsidRPr="0032720B" w:rsidRDefault="009B1BD4" w:rsidP="00C33388">
    <w:pPr>
      <w:pStyle w:val="Footerfirstpage"/>
    </w:pPr>
    <w:r w:rsidRPr="008F0962">
      <w:t>Department of Human Service</w:t>
    </w:r>
    <w:r>
      <w:t>s</w:t>
    </w:r>
    <w:r>
      <w:tab/>
    </w:r>
    <w:r w:rsidR="005356D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Victorian Government insignia" style="width:1in;height:41.9pt">
          <v:imagedata r:id="rId1" o:title="SGV_logo_rgb_pms541"/>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BD4" w:rsidRPr="00A11421" w:rsidRDefault="009B1BD4" w:rsidP="00A11421">
    <w:pPr>
      <w:pStyle w:val="Footer"/>
    </w:pPr>
    <w:r w:rsidRPr="00A11421">
      <w:t>Name of document</w:t>
    </w:r>
    <w:r w:rsidRPr="00A11421">
      <w:tab/>
    </w:r>
    <w:r w:rsidRPr="00A11421">
      <w:fldChar w:fldCharType="begin"/>
    </w:r>
    <w:r w:rsidRPr="00A11421">
      <w:instrText xml:space="preserve"> PAGE </w:instrText>
    </w:r>
    <w:r w:rsidRPr="00A11421">
      <w:fldChar w:fldCharType="separate"/>
    </w:r>
    <w:r w:rsidR="00954C9C">
      <w:rPr>
        <w:noProof/>
      </w:rPr>
      <w:t>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6DF" w:rsidRDefault="005356DF" w:rsidP="002862F1">
      <w:pPr>
        <w:spacing w:before="120"/>
      </w:pPr>
      <w:r>
        <w:separator/>
      </w:r>
    </w:p>
  </w:footnote>
  <w:footnote w:type="continuationSeparator" w:id="0">
    <w:p w:rsidR="005356DF" w:rsidRDefault="00535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D42" w:rsidRPr="008A53E8" w:rsidRDefault="00667D42" w:rsidP="008A53E8">
    <w:pPr>
      <w:pStyle w:val="DHHSbody"/>
    </w:pPr>
  </w:p>
  <w:p w:rsidR="00667D42" w:rsidRPr="00C81927" w:rsidRDefault="00667D42" w:rsidP="00667D42">
    <w:pPr>
      <w:pStyle w:val="DHHSmainheading"/>
      <w:rPr>
        <w:rFonts w:ascii="Calibri" w:hAnsi="Calibri"/>
        <w:b/>
      </w:rPr>
    </w:pPr>
    <w:r w:rsidRPr="00C81927">
      <w:rPr>
        <w:rFonts w:ascii="Calibri" w:hAnsi="Calibri"/>
        <w:b/>
      </w:rPr>
      <w:t>Competitive Neutrality Policy</w:t>
    </w:r>
  </w:p>
  <w:p w:rsidR="00954C9C" w:rsidRPr="00954C9C" w:rsidRDefault="005356DF" w:rsidP="00954C9C">
    <w:pPr>
      <w:tabs>
        <w:tab w:val="left" w:pos="0"/>
      </w:tabs>
      <w:spacing w:line="560" w:lineRule="atLeast"/>
      <w:rPr>
        <w:rFonts w:ascii="Calibri" w:hAnsi="Calibri" w:cs="Arial"/>
        <w:color w:val="FFFFFF"/>
        <w:sz w:val="32"/>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65" type="#_x0000_t75" alt="Brand Victoria State Gov DJPR reverse rgb" style="position:absolute;margin-left:425.95pt;margin-top:34.1pt;width:66.65pt;height:3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Brand Victoria State Gov DJPR reverse rgb" cropright="28492f"/>
        </v:shape>
      </w:pict>
    </w:r>
    <w:r w:rsidR="00954C9C" w:rsidRPr="00954C9C">
      <w:rPr>
        <w:rFonts w:ascii="Calibri" w:hAnsi="Calibri" w:cs="Arial"/>
        <w:color w:val="FFFFFF"/>
        <w:sz w:val="32"/>
        <w:szCs w:val="28"/>
      </w:rPr>
      <w:t xml:space="preserve">Sport and Recreation Victoria </w:t>
    </w:r>
    <w:r w:rsidR="00954C9C" w:rsidRPr="00954C9C">
      <w:rPr>
        <w:rFonts w:ascii="Calibri" w:hAnsi="Calibri" w:cs="Arial"/>
        <w:color w:val="FFFFFF"/>
        <w:sz w:val="32"/>
        <w:szCs w:val="28"/>
      </w:rPr>
      <w:br/>
    </w:r>
    <w:r w:rsidR="00954C9C" w:rsidRPr="00954C9C">
      <w:rPr>
        <w:rFonts w:ascii="Calibri" w:hAnsi="Calibri" w:cs="Arial"/>
        <w:i/>
        <w:color w:val="FFFFFF"/>
        <w:sz w:val="32"/>
        <w:szCs w:val="28"/>
      </w:rPr>
      <w:t>Community Infrastructure Programs</w:t>
    </w:r>
    <w:r w:rsidR="00954C9C" w:rsidRPr="00954C9C">
      <w:rPr>
        <w:rFonts w:ascii="Calibri" w:hAnsi="Calibri"/>
        <w:sz w:val="32"/>
        <w:szCs w:val="28"/>
      </w:rPr>
      <w:tab/>
    </w:r>
  </w:p>
  <w:p w:rsidR="006D55C5" w:rsidRDefault="005356DF">
    <w:pPr>
      <w:pStyle w:val="Header"/>
    </w:pPr>
    <w:r>
      <w:rPr>
        <w:noProof/>
      </w:rPr>
      <w:pict>
        <v:shape id="Picture 8" o:spid="_x0000_s2062" type="#_x0000_t75" style="position:absolute;margin-left:.1pt;margin-top:0;width:595pt;height:2in;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allowincell="f">
          <v:imagedata r:id="rId2" o:title=""/>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BD4" w:rsidRDefault="009B1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856F3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ED2A09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FB0C58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ACA1F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F2E0E8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C00867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4406D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7C27C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082763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18C0F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24283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543EF1"/>
    <w:multiLevelType w:val="multilevel"/>
    <w:tmpl w:val="17069600"/>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A07594"/>
    <w:multiLevelType w:val="hybridMultilevel"/>
    <w:tmpl w:val="9222949E"/>
    <w:lvl w:ilvl="0" w:tplc="A9745EEC">
      <w:start w:val="1"/>
      <w:numFmt w:val="bullet"/>
      <w:lvlText w:val="–"/>
      <w:lvlJc w:val="left"/>
      <w:pPr>
        <w:ind w:left="284" w:firstLine="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1941BB"/>
    <w:multiLevelType w:val="multilevel"/>
    <w:tmpl w:val="17069600"/>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57088C"/>
    <w:multiLevelType w:val="hybridMultilevel"/>
    <w:tmpl w:val="2A322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BB0287"/>
    <w:multiLevelType w:val="hybridMultilevel"/>
    <w:tmpl w:val="9D624718"/>
    <w:lvl w:ilvl="0" w:tplc="F856B3C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86C39"/>
    <w:multiLevelType w:val="multilevel"/>
    <w:tmpl w:val="13285BF0"/>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D70CCF"/>
    <w:multiLevelType w:val="hybridMultilevel"/>
    <w:tmpl w:val="1FBE3CE4"/>
    <w:lvl w:ilvl="0" w:tplc="86E81CBE">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157FA"/>
    <w:multiLevelType w:val="multilevel"/>
    <w:tmpl w:val="971A6432"/>
    <w:lvl w:ilvl="0">
      <w:start w:val="1"/>
      <w:numFmt w:val="bullet"/>
      <w:lvlText w:val=""/>
      <w:lvlJc w:val="left"/>
      <w:pPr>
        <w:ind w:left="680"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6652FA"/>
    <w:multiLevelType w:val="multilevel"/>
    <w:tmpl w:val="577C881E"/>
    <w:numStyleLink w:val="Numbers"/>
  </w:abstractNum>
  <w:abstractNum w:abstractNumId="20" w15:restartNumberingAfterBreak="0">
    <w:nsid w:val="3B0D316C"/>
    <w:multiLevelType w:val="hybridMultilevel"/>
    <w:tmpl w:val="508C7D92"/>
    <w:lvl w:ilvl="0" w:tplc="B94068B2">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7A4F55"/>
    <w:multiLevelType w:val="multilevel"/>
    <w:tmpl w:val="577C881E"/>
    <w:numStyleLink w:val="Numbers"/>
  </w:abstractNum>
  <w:abstractNum w:abstractNumId="22" w15:restartNumberingAfterBreak="0">
    <w:nsid w:val="3E0B696C"/>
    <w:multiLevelType w:val="multilevel"/>
    <w:tmpl w:val="DF5C4BC2"/>
    <w:lvl w:ilvl="0">
      <w:start w:val="1"/>
      <w:numFmt w:val="bullet"/>
      <w:lvlText w:val=""/>
      <w:lvlJc w:val="left"/>
      <w:pPr>
        <w:ind w:left="283"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DC5D7D"/>
    <w:multiLevelType w:val="hybridMultilevel"/>
    <w:tmpl w:val="E5FED512"/>
    <w:lvl w:ilvl="0" w:tplc="6CEAE4AC">
      <w:start w:val="1"/>
      <w:numFmt w:val="bullet"/>
      <w:lvlText w:val=""/>
      <w:lvlJc w:val="left"/>
      <w:pPr>
        <w:tabs>
          <w:tab w:val="num" w:pos="360"/>
        </w:tabs>
        <w:ind w:left="142" w:hanging="14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1D7C48"/>
    <w:multiLevelType w:val="multilevel"/>
    <w:tmpl w:val="8E6405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4215FA"/>
    <w:multiLevelType w:val="hybridMultilevel"/>
    <w:tmpl w:val="F6501466"/>
    <w:lvl w:ilvl="0" w:tplc="B226E274">
      <w:start w:val="1"/>
      <w:numFmt w:val="bullet"/>
      <w:lvlText w:val=""/>
      <w:lvlJc w:val="left"/>
      <w:pPr>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1B56410"/>
    <w:multiLevelType w:val="hybridMultilevel"/>
    <w:tmpl w:val="38764EEE"/>
    <w:lvl w:ilvl="0" w:tplc="A0E2A826">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06792D"/>
    <w:multiLevelType w:val="hybridMultilevel"/>
    <w:tmpl w:val="8E6405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B31838"/>
    <w:multiLevelType w:val="multilevel"/>
    <w:tmpl w:val="A196A26C"/>
    <w:lvl w:ilvl="0">
      <w:start w:val="1"/>
      <w:numFmt w:val="decimal"/>
      <w:lvlText w:val="%1"/>
      <w:lvlJc w:val="left"/>
      <w:pPr>
        <w:tabs>
          <w:tab w:val="num" w:pos="567"/>
        </w:tabs>
        <w:ind w:left="567" w:hanging="567"/>
      </w:pPr>
      <w:rPr>
        <w:rFonts w:hint="default"/>
      </w:rPr>
    </w:lvl>
    <w:lvl w:ilvl="1">
      <w:start w:val="1"/>
      <w:numFmt w:val="decimal"/>
      <w:lvlText w:val="%2.%1"/>
      <w:lvlJc w:val="left"/>
      <w:pPr>
        <w:tabs>
          <w:tab w:val="num" w:pos="1418"/>
        </w:tabs>
        <w:ind w:left="1418" w:hanging="851"/>
      </w:pPr>
      <w:rPr>
        <w:rFonts w:hint="default"/>
      </w:rPr>
    </w:lvl>
    <w:lvl w:ilvl="2">
      <w:start w:val="1"/>
      <w:numFmt w:val="decimal"/>
      <w:lvlRestart w:val="1"/>
      <w:lvlText w:val="%3.%2.1"/>
      <w:lvlJc w:val="left"/>
      <w:pPr>
        <w:tabs>
          <w:tab w:val="num" w:pos="2552"/>
        </w:tabs>
        <w:ind w:left="2552" w:hanging="1134"/>
      </w:pPr>
      <w:rPr>
        <w:rFonts w:hint="default"/>
      </w:rPr>
    </w:lvl>
    <w:lvl w:ilvl="3">
      <w:start w:val="1"/>
      <w:numFmt w:val="none"/>
      <w:lvlRestart w:val="1"/>
      <w:lvlText w:val="1.1.1.1"/>
      <w:lvlJc w:val="left"/>
      <w:pPr>
        <w:tabs>
          <w:tab w:val="num" w:pos="3686"/>
        </w:tabs>
        <w:ind w:left="3686" w:hanging="1134"/>
      </w:pPr>
      <w:rPr>
        <w:rFonts w:hint="default"/>
      </w:rPr>
    </w:lvl>
    <w:lvl w:ilvl="4">
      <w:start w:val="1"/>
      <w:numFmt w:val="none"/>
      <w:lvlRestart w:val="1"/>
      <w:lvlText w:val="1.1.1.1.1"/>
      <w:lvlJc w:val="left"/>
      <w:pPr>
        <w:tabs>
          <w:tab w:val="num" w:pos="7088"/>
        </w:tabs>
        <w:ind w:left="7088" w:hanging="2552"/>
      </w:pPr>
      <w:rPr>
        <w:rFonts w:hint="default"/>
      </w:rPr>
    </w:lvl>
    <w:lvl w:ilvl="5">
      <w:start w:val="1"/>
      <w:numFmt w:val="none"/>
      <w:lvlText w:val=""/>
      <w:lvlJc w:val="left"/>
      <w:pPr>
        <w:tabs>
          <w:tab w:val="num" w:pos="7164"/>
        </w:tabs>
        <w:ind w:left="7088" w:hanging="284"/>
      </w:pPr>
      <w:rPr>
        <w:rFonts w:hint="default"/>
      </w:rPr>
    </w:lvl>
    <w:lvl w:ilvl="6">
      <w:start w:val="1"/>
      <w:numFmt w:val="none"/>
      <w:lvlText w:val=""/>
      <w:lvlJc w:val="left"/>
      <w:pPr>
        <w:tabs>
          <w:tab w:val="num" w:pos="7164"/>
        </w:tabs>
        <w:ind w:left="7088" w:hanging="284"/>
      </w:pPr>
      <w:rPr>
        <w:rFonts w:hint="default"/>
      </w:rPr>
    </w:lvl>
    <w:lvl w:ilvl="7">
      <w:start w:val="1"/>
      <w:numFmt w:val="none"/>
      <w:lvlText w:val=""/>
      <w:lvlJc w:val="left"/>
      <w:pPr>
        <w:tabs>
          <w:tab w:val="num" w:pos="7164"/>
        </w:tabs>
        <w:ind w:left="7088" w:hanging="284"/>
      </w:pPr>
      <w:rPr>
        <w:rFonts w:hint="default"/>
      </w:rPr>
    </w:lvl>
    <w:lvl w:ilvl="8">
      <w:start w:val="1"/>
      <w:numFmt w:val="none"/>
      <w:lvlText w:val=""/>
      <w:lvlJc w:val="left"/>
      <w:pPr>
        <w:tabs>
          <w:tab w:val="num" w:pos="7164"/>
        </w:tabs>
        <w:ind w:left="7088" w:hanging="284"/>
      </w:pPr>
      <w:rPr>
        <w:rFonts w:hint="default"/>
      </w:rPr>
    </w:lvl>
  </w:abstractNum>
  <w:abstractNum w:abstractNumId="30" w15:restartNumberingAfterBreak="0">
    <w:nsid w:val="5A4D150E"/>
    <w:multiLevelType w:val="multilevel"/>
    <w:tmpl w:val="A1DAC29E"/>
    <w:lvl w:ilvl="0">
      <w:start w:val="1"/>
      <w:numFmt w:val="bullet"/>
      <w:lvlText w:val="–"/>
      <w:lvlJc w:val="left"/>
      <w:pPr>
        <w:ind w:left="284" w:firstLine="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190F92"/>
    <w:multiLevelType w:val="hybridMultilevel"/>
    <w:tmpl w:val="C8F28CEA"/>
    <w:lvl w:ilvl="0" w:tplc="158ABA46">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0267B5"/>
    <w:multiLevelType w:val="hybridMultilevel"/>
    <w:tmpl w:val="BFB6384A"/>
    <w:lvl w:ilvl="0" w:tplc="040A67C6">
      <w:start w:val="1"/>
      <w:numFmt w:val="bullet"/>
      <w:lvlText w:val="–"/>
      <w:lvlJc w:val="left"/>
      <w:pPr>
        <w:tabs>
          <w:tab w:val="num" w:pos="567"/>
        </w:tabs>
        <w:ind w:left="567" w:hanging="283"/>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F30FD1"/>
    <w:multiLevelType w:val="multilevel"/>
    <w:tmpl w:val="577C881E"/>
    <w:styleLink w:val="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abstractNumId w:val="23"/>
  </w:num>
  <w:num w:numId="2">
    <w:abstractNumId w:val="29"/>
  </w:num>
  <w:num w:numId="3">
    <w:abstractNumId w:val="28"/>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24"/>
  </w:num>
  <w:num w:numId="16">
    <w:abstractNumId w:val="15"/>
  </w:num>
  <w:num w:numId="17">
    <w:abstractNumId w:val="20"/>
  </w:num>
  <w:num w:numId="18">
    <w:abstractNumId w:val="12"/>
  </w:num>
  <w:num w:numId="19">
    <w:abstractNumId w:val="17"/>
  </w:num>
  <w:num w:numId="20">
    <w:abstractNumId w:val="31"/>
  </w:num>
  <w:num w:numId="21">
    <w:abstractNumId w:val="30"/>
  </w:num>
  <w:num w:numId="22">
    <w:abstractNumId w:val="32"/>
  </w:num>
  <w:num w:numId="23">
    <w:abstractNumId w:val="31"/>
  </w:num>
  <w:num w:numId="24">
    <w:abstractNumId w:val="11"/>
  </w:num>
  <w:num w:numId="25">
    <w:abstractNumId w:val="13"/>
  </w:num>
  <w:num w:numId="26">
    <w:abstractNumId w:val="25"/>
  </w:num>
  <w:num w:numId="27">
    <w:abstractNumId w:val="18"/>
  </w:num>
  <w:num w:numId="28">
    <w:abstractNumId w:val="25"/>
    <w:lvlOverride w:ilvl="0">
      <w:startOverride w:val="1"/>
    </w:lvlOverride>
  </w:num>
  <w:num w:numId="29">
    <w:abstractNumId w:val="22"/>
  </w:num>
  <w:num w:numId="30">
    <w:abstractNumId w:val="26"/>
  </w:num>
  <w:num w:numId="31">
    <w:abstractNumId w:val="16"/>
  </w:num>
  <w:num w:numId="32">
    <w:abstractNumId w:val="33"/>
  </w:num>
  <w:num w:numId="33">
    <w:abstractNumId w:val="19"/>
  </w:num>
  <w:num w:numId="34">
    <w:abstractNumId w:val="26"/>
  </w:num>
  <w:num w:numId="35">
    <w:abstractNumId w:val="26"/>
  </w:num>
  <w:num w:numId="36">
    <w:abstractNumId w:val="26"/>
  </w:num>
  <w:num w:numId="37">
    <w:abstractNumId w:val="33"/>
  </w:num>
  <w:num w:numId="38">
    <w:abstractNumId w:val="33"/>
  </w:num>
  <w:num w:numId="39">
    <w:abstractNumId w:val="33"/>
  </w:num>
  <w:num w:numId="40">
    <w:abstractNumId w:val="33"/>
  </w:num>
  <w:num w:numId="41">
    <w:abstractNumId w:val="33"/>
  </w:num>
  <w:num w:numId="42">
    <w:abstractNumId w:val="33"/>
  </w:num>
  <w:num w:numId="43">
    <w:abstractNumId w:val="26"/>
  </w:num>
  <w:num w:numId="44">
    <w:abstractNumId w:val="33"/>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NotTrackMoves/>
  <w:documentProtection w:edit="readOnly" w:enforcement="1"/>
  <w:defaultTabStop w:val="720"/>
  <w:drawingGridHorizontalSpacing w:val="181"/>
  <w:drawingGridVerticalSpacing w:val="181"/>
  <w:noPunctuationKerning/>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suppressSpBfAfterPgBrk/>
    <w:noSpaceRaiseLower/>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356DF"/>
    <w:rsid w:val="000072B6"/>
    <w:rsid w:val="0001021B"/>
    <w:rsid w:val="00011D89"/>
    <w:rsid w:val="00024D89"/>
    <w:rsid w:val="00033D81"/>
    <w:rsid w:val="00041BF0"/>
    <w:rsid w:val="0004536B"/>
    <w:rsid w:val="00046B68"/>
    <w:rsid w:val="000527DD"/>
    <w:rsid w:val="000578B2"/>
    <w:rsid w:val="00060959"/>
    <w:rsid w:val="00074219"/>
    <w:rsid w:val="00074ED5"/>
    <w:rsid w:val="00094DA3"/>
    <w:rsid w:val="00096CD1"/>
    <w:rsid w:val="000A012C"/>
    <w:rsid w:val="000A0EB9"/>
    <w:rsid w:val="000A186C"/>
    <w:rsid w:val="000B543D"/>
    <w:rsid w:val="000B5BF7"/>
    <w:rsid w:val="000B64D4"/>
    <w:rsid w:val="000B6BC8"/>
    <w:rsid w:val="000C42EA"/>
    <w:rsid w:val="000C4546"/>
    <w:rsid w:val="000D1242"/>
    <w:rsid w:val="000D58B4"/>
    <w:rsid w:val="000E3CC7"/>
    <w:rsid w:val="000E6BD4"/>
    <w:rsid w:val="000F1F1E"/>
    <w:rsid w:val="000F2259"/>
    <w:rsid w:val="0010392D"/>
    <w:rsid w:val="00104FE3"/>
    <w:rsid w:val="00120BD3"/>
    <w:rsid w:val="00122FEA"/>
    <w:rsid w:val="001232BD"/>
    <w:rsid w:val="00124ED5"/>
    <w:rsid w:val="001447B3"/>
    <w:rsid w:val="00161939"/>
    <w:rsid w:val="00161AA0"/>
    <w:rsid w:val="00162093"/>
    <w:rsid w:val="001771DD"/>
    <w:rsid w:val="00177995"/>
    <w:rsid w:val="00177A8C"/>
    <w:rsid w:val="00186B33"/>
    <w:rsid w:val="00192F9D"/>
    <w:rsid w:val="00196EB8"/>
    <w:rsid w:val="001979FF"/>
    <w:rsid w:val="00197B17"/>
    <w:rsid w:val="001A3ACE"/>
    <w:rsid w:val="001B218E"/>
    <w:rsid w:val="001C2A72"/>
    <w:rsid w:val="001D0B75"/>
    <w:rsid w:val="001D3C09"/>
    <w:rsid w:val="001D44E8"/>
    <w:rsid w:val="001D60EC"/>
    <w:rsid w:val="001E44DF"/>
    <w:rsid w:val="001E5718"/>
    <w:rsid w:val="001E68A5"/>
    <w:rsid w:val="001F6E46"/>
    <w:rsid w:val="001F72A0"/>
    <w:rsid w:val="001F7C91"/>
    <w:rsid w:val="00206463"/>
    <w:rsid w:val="00206F2F"/>
    <w:rsid w:val="0021053D"/>
    <w:rsid w:val="00210A92"/>
    <w:rsid w:val="00216C03"/>
    <w:rsid w:val="00220C04"/>
    <w:rsid w:val="00225A23"/>
    <w:rsid w:val="0022701F"/>
    <w:rsid w:val="002333F5"/>
    <w:rsid w:val="00246C5E"/>
    <w:rsid w:val="00251343"/>
    <w:rsid w:val="002620BC"/>
    <w:rsid w:val="00263A90"/>
    <w:rsid w:val="0026408B"/>
    <w:rsid w:val="00267C3E"/>
    <w:rsid w:val="002709BB"/>
    <w:rsid w:val="002802E3"/>
    <w:rsid w:val="0028213D"/>
    <w:rsid w:val="002862F1"/>
    <w:rsid w:val="00291373"/>
    <w:rsid w:val="00295131"/>
    <w:rsid w:val="0029597D"/>
    <w:rsid w:val="002962C3"/>
    <w:rsid w:val="002A483C"/>
    <w:rsid w:val="002B1729"/>
    <w:rsid w:val="002B4DD4"/>
    <w:rsid w:val="002B5277"/>
    <w:rsid w:val="002B77C1"/>
    <w:rsid w:val="002C2728"/>
    <w:rsid w:val="002E01D0"/>
    <w:rsid w:val="002E161D"/>
    <w:rsid w:val="002E6C95"/>
    <w:rsid w:val="002E7C36"/>
    <w:rsid w:val="002F5F31"/>
    <w:rsid w:val="00302216"/>
    <w:rsid w:val="00303E53"/>
    <w:rsid w:val="00306E5F"/>
    <w:rsid w:val="00307E14"/>
    <w:rsid w:val="00314054"/>
    <w:rsid w:val="00316F27"/>
    <w:rsid w:val="0032295D"/>
    <w:rsid w:val="00327870"/>
    <w:rsid w:val="0033259D"/>
    <w:rsid w:val="003406C6"/>
    <w:rsid w:val="003418CC"/>
    <w:rsid w:val="003459BD"/>
    <w:rsid w:val="00350D38"/>
    <w:rsid w:val="003744CF"/>
    <w:rsid w:val="00374717"/>
    <w:rsid w:val="0037676C"/>
    <w:rsid w:val="00377B4A"/>
    <w:rsid w:val="003829E5"/>
    <w:rsid w:val="003956CC"/>
    <w:rsid w:val="00395C9A"/>
    <w:rsid w:val="003A6B67"/>
    <w:rsid w:val="003B15E6"/>
    <w:rsid w:val="003C2045"/>
    <w:rsid w:val="003C43A1"/>
    <w:rsid w:val="003C4FC0"/>
    <w:rsid w:val="003C55F4"/>
    <w:rsid w:val="003C7A3F"/>
    <w:rsid w:val="003D3E8F"/>
    <w:rsid w:val="003D6475"/>
    <w:rsid w:val="003E375C"/>
    <w:rsid w:val="003F0445"/>
    <w:rsid w:val="003F0CF0"/>
    <w:rsid w:val="003F3289"/>
    <w:rsid w:val="00401FCF"/>
    <w:rsid w:val="00406285"/>
    <w:rsid w:val="00412DE0"/>
    <w:rsid w:val="004148F9"/>
    <w:rsid w:val="0042084E"/>
    <w:rsid w:val="00421EEF"/>
    <w:rsid w:val="00424D65"/>
    <w:rsid w:val="004369A3"/>
    <w:rsid w:val="00442C6C"/>
    <w:rsid w:val="00443CBE"/>
    <w:rsid w:val="00443E8A"/>
    <w:rsid w:val="004441BC"/>
    <w:rsid w:val="0045230A"/>
    <w:rsid w:val="00457337"/>
    <w:rsid w:val="0047372D"/>
    <w:rsid w:val="004743DD"/>
    <w:rsid w:val="00474CEA"/>
    <w:rsid w:val="00483968"/>
    <w:rsid w:val="00484F86"/>
    <w:rsid w:val="00490746"/>
    <w:rsid w:val="00490852"/>
    <w:rsid w:val="004946F4"/>
    <w:rsid w:val="0049487E"/>
    <w:rsid w:val="004A3E81"/>
    <w:rsid w:val="004A5C62"/>
    <w:rsid w:val="004A707D"/>
    <w:rsid w:val="004B12DB"/>
    <w:rsid w:val="004C6EEE"/>
    <w:rsid w:val="004C702B"/>
    <w:rsid w:val="004C7918"/>
    <w:rsid w:val="004D016B"/>
    <w:rsid w:val="004D1B22"/>
    <w:rsid w:val="004D36F2"/>
    <w:rsid w:val="004E4649"/>
    <w:rsid w:val="004E5C2B"/>
    <w:rsid w:val="004E7C4C"/>
    <w:rsid w:val="004F00DD"/>
    <w:rsid w:val="004F2133"/>
    <w:rsid w:val="004F55F1"/>
    <w:rsid w:val="004F6936"/>
    <w:rsid w:val="00503DC6"/>
    <w:rsid w:val="00506F5D"/>
    <w:rsid w:val="005126D0"/>
    <w:rsid w:val="005356DF"/>
    <w:rsid w:val="00536499"/>
    <w:rsid w:val="00543903"/>
    <w:rsid w:val="00547A95"/>
    <w:rsid w:val="00572031"/>
    <w:rsid w:val="00576E84"/>
    <w:rsid w:val="0058757E"/>
    <w:rsid w:val="00596A4B"/>
    <w:rsid w:val="00597507"/>
    <w:rsid w:val="005B21B6"/>
    <w:rsid w:val="005B7A63"/>
    <w:rsid w:val="005C49DA"/>
    <w:rsid w:val="005C50F3"/>
    <w:rsid w:val="005C5D91"/>
    <w:rsid w:val="005D07B8"/>
    <w:rsid w:val="005D6597"/>
    <w:rsid w:val="005E14E7"/>
    <w:rsid w:val="005E447E"/>
    <w:rsid w:val="005F0459"/>
    <w:rsid w:val="005F0775"/>
    <w:rsid w:val="005F0CF5"/>
    <w:rsid w:val="005F21EB"/>
    <w:rsid w:val="00605908"/>
    <w:rsid w:val="00610D7C"/>
    <w:rsid w:val="00613414"/>
    <w:rsid w:val="0062408D"/>
    <w:rsid w:val="006240CC"/>
    <w:rsid w:val="00627DA7"/>
    <w:rsid w:val="006358B4"/>
    <w:rsid w:val="006419AA"/>
    <w:rsid w:val="00644B7E"/>
    <w:rsid w:val="00646A68"/>
    <w:rsid w:val="0065092E"/>
    <w:rsid w:val="00651B01"/>
    <w:rsid w:val="006557A7"/>
    <w:rsid w:val="00656290"/>
    <w:rsid w:val="006621D7"/>
    <w:rsid w:val="0066302A"/>
    <w:rsid w:val="00664537"/>
    <w:rsid w:val="00667D42"/>
    <w:rsid w:val="00670597"/>
    <w:rsid w:val="00677574"/>
    <w:rsid w:val="0068454C"/>
    <w:rsid w:val="00691B62"/>
    <w:rsid w:val="006A18C2"/>
    <w:rsid w:val="006A287F"/>
    <w:rsid w:val="006A28D7"/>
    <w:rsid w:val="006B077C"/>
    <w:rsid w:val="006D2A3F"/>
    <w:rsid w:val="006D55C5"/>
    <w:rsid w:val="006E138B"/>
    <w:rsid w:val="006F1FDC"/>
    <w:rsid w:val="007013EF"/>
    <w:rsid w:val="007216AA"/>
    <w:rsid w:val="00721AB5"/>
    <w:rsid w:val="00721DEF"/>
    <w:rsid w:val="00724A43"/>
    <w:rsid w:val="007346E4"/>
    <w:rsid w:val="00740DBD"/>
    <w:rsid w:val="00740F22"/>
    <w:rsid w:val="00741F1A"/>
    <w:rsid w:val="007450F8"/>
    <w:rsid w:val="0074696E"/>
    <w:rsid w:val="00750135"/>
    <w:rsid w:val="007529DC"/>
    <w:rsid w:val="00754E36"/>
    <w:rsid w:val="00763139"/>
    <w:rsid w:val="00772D5E"/>
    <w:rsid w:val="00776928"/>
    <w:rsid w:val="00786F16"/>
    <w:rsid w:val="00796E20"/>
    <w:rsid w:val="00797C32"/>
    <w:rsid w:val="007B0914"/>
    <w:rsid w:val="007B1374"/>
    <w:rsid w:val="007B589F"/>
    <w:rsid w:val="007B6186"/>
    <w:rsid w:val="007C7301"/>
    <w:rsid w:val="007C7859"/>
    <w:rsid w:val="007D2BDE"/>
    <w:rsid w:val="007D2FB6"/>
    <w:rsid w:val="007E0DE2"/>
    <w:rsid w:val="007F31B6"/>
    <w:rsid w:val="007F546C"/>
    <w:rsid w:val="007F665E"/>
    <w:rsid w:val="00800412"/>
    <w:rsid w:val="0080587B"/>
    <w:rsid w:val="00806468"/>
    <w:rsid w:val="008155F0"/>
    <w:rsid w:val="00816735"/>
    <w:rsid w:val="00820141"/>
    <w:rsid w:val="00820E0C"/>
    <w:rsid w:val="00853EE4"/>
    <w:rsid w:val="00855535"/>
    <w:rsid w:val="008633F0"/>
    <w:rsid w:val="00867D9D"/>
    <w:rsid w:val="00872E0A"/>
    <w:rsid w:val="00875285"/>
    <w:rsid w:val="00883DCF"/>
    <w:rsid w:val="00884B62"/>
    <w:rsid w:val="0088529C"/>
    <w:rsid w:val="0089270A"/>
    <w:rsid w:val="00893AF6"/>
    <w:rsid w:val="00894BC4"/>
    <w:rsid w:val="008A53E8"/>
    <w:rsid w:val="008B2EE4"/>
    <w:rsid w:val="008B4D3D"/>
    <w:rsid w:val="008B57C7"/>
    <w:rsid w:val="008C2F92"/>
    <w:rsid w:val="008D4236"/>
    <w:rsid w:val="008D462F"/>
    <w:rsid w:val="008E4376"/>
    <w:rsid w:val="00900719"/>
    <w:rsid w:val="00906490"/>
    <w:rsid w:val="009111B2"/>
    <w:rsid w:val="00924AE1"/>
    <w:rsid w:val="009269B1"/>
    <w:rsid w:val="00937BD9"/>
    <w:rsid w:val="00950E2C"/>
    <w:rsid w:val="00951D50"/>
    <w:rsid w:val="009525EB"/>
    <w:rsid w:val="00954C9C"/>
    <w:rsid w:val="00961400"/>
    <w:rsid w:val="00963646"/>
    <w:rsid w:val="009853E1"/>
    <w:rsid w:val="00986E6B"/>
    <w:rsid w:val="00991769"/>
    <w:rsid w:val="00994386"/>
    <w:rsid w:val="009A279E"/>
    <w:rsid w:val="009B0A6F"/>
    <w:rsid w:val="009B1BD4"/>
    <w:rsid w:val="009B59E9"/>
    <w:rsid w:val="009C7A7E"/>
    <w:rsid w:val="009D02E8"/>
    <w:rsid w:val="009D51D0"/>
    <w:rsid w:val="009D70A4"/>
    <w:rsid w:val="009E08D1"/>
    <w:rsid w:val="009E1B95"/>
    <w:rsid w:val="009E496F"/>
    <w:rsid w:val="009E4B0D"/>
    <w:rsid w:val="009E7F92"/>
    <w:rsid w:val="009F02A3"/>
    <w:rsid w:val="009F2F27"/>
    <w:rsid w:val="009F6BCB"/>
    <w:rsid w:val="009F7B78"/>
    <w:rsid w:val="00A0057A"/>
    <w:rsid w:val="00A11421"/>
    <w:rsid w:val="00A157B1"/>
    <w:rsid w:val="00A22229"/>
    <w:rsid w:val="00A44882"/>
    <w:rsid w:val="00A54715"/>
    <w:rsid w:val="00A6019A"/>
    <w:rsid w:val="00A6061C"/>
    <w:rsid w:val="00A62CF1"/>
    <w:rsid w:val="00A62D44"/>
    <w:rsid w:val="00A7161C"/>
    <w:rsid w:val="00A77AA3"/>
    <w:rsid w:val="00A8040A"/>
    <w:rsid w:val="00A872E5"/>
    <w:rsid w:val="00A96E65"/>
    <w:rsid w:val="00A97C72"/>
    <w:rsid w:val="00AA63D4"/>
    <w:rsid w:val="00AB06E8"/>
    <w:rsid w:val="00AB0A01"/>
    <w:rsid w:val="00AB1CD3"/>
    <w:rsid w:val="00AB352F"/>
    <w:rsid w:val="00AC274B"/>
    <w:rsid w:val="00AC6D36"/>
    <w:rsid w:val="00AD0CBA"/>
    <w:rsid w:val="00AD26E2"/>
    <w:rsid w:val="00AE0980"/>
    <w:rsid w:val="00AE126A"/>
    <w:rsid w:val="00AE3005"/>
    <w:rsid w:val="00AE3D4B"/>
    <w:rsid w:val="00AE59A0"/>
    <w:rsid w:val="00AF0C57"/>
    <w:rsid w:val="00AF26F3"/>
    <w:rsid w:val="00B00672"/>
    <w:rsid w:val="00B01B4D"/>
    <w:rsid w:val="00B06571"/>
    <w:rsid w:val="00B068BA"/>
    <w:rsid w:val="00B13851"/>
    <w:rsid w:val="00B13B1C"/>
    <w:rsid w:val="00B22291"/>
    <w:rsid w:val="00B23F9A"/>
    <w:rsid w:val="00B2417B"/>
    <w:rsid w:val="00B24E6F"/>
    <w:rsid w:val="00B26CB5"/>
    <w:rsid w:val="00B2752E"/>
    <w:rsid w:val="00B307CC"/>
    <w:rsid w:val="00B45141"/>
    <w:rsid w:val="00B5273A"/>
    <w:rsid w:val="00B62B50"/>
    <w:rsid w:val="00B635B7"/>
    <w:rsid w:val="00B63AE8"/>
    <w:rsid w:val="00B65950"/>
    <w:rsid w:val="00B672C0"/>
    <w:rsid w:val="00B75646"/>
    <w:rsid w:val="00B76915"/>
    <w:rsid w:val="00B90729"/>
    <w:rsid w:val="00B907DA"/>
    <w:rsid w:val="00B950BC"/>
    <w:rsid w:val="00B9714C"/>
    <w:rsid w:val="00BA3620"/>
    <w:rsid w:val="00BB7A10"/>
    <w:rsid w:val="00BC7D4F"/>
    <w:rsid w:val="00BC7ED7"/>
    <w:rsid w:val="00BD2850"/>
    <w:rsid w:val="00BE28D2"/>
    <w:rsid w:val="00BF7F58"/>
    <w:rsid w:val="00C01381"/>
    <w:rsid w:val="00C079B8"/>
    <w:rsid w:val="00C123EA"/>
    <w:rsid w:val="00C12A49"/>
    <w:rsid w:val="00C133EE"/>
    <w:rsid w:val="00C230FC"/>
    <w:rsid w:val="00C268D5"/>
    <w:rsid w:val="00C27DE9"/>
    <w:rsid w:val="00C33388"/>
    <w:rsid w:val="00C4173A"/>
    <w:rsid w:val="00C602FF"/>
    <w:rsid w:val="00C61174"/>
    <w:rsid w:val="00C6148F"/>
    <w:rsid w:val="00C62F7A"/>
    <w:rsid w:val="00C63B9C"/>
    <w:rsid w:val="00C6682F"/>
    <w:rsid w:val="00C7275E"/>
    <w:rsid w:val="00C74C5D"/>
    <w:rsid w:val="00C80803"/>
    <w:rsid w:val="00C81927"/>
    <w:rsid w:val="00C863C4"/>
    <w:rsid w:val="00C93C3E"/>
    <w:rsid w:val="00CA12E3"/>
    <w:rsid w:val="00CA6611"/>
    <w:rsid w:val="00CC2BFD"/>
    <w:rsid w:val="00CD3476"/>
    <w:rsid w:val="00CD64DF"/>
    <w:rsid w:val="00CF0BAE"/>
    <w:rsid w:val="00CF2F50"/>
    <w:rsid w:val="00D02919"/>
    <w:rsid w:val="00D04C61"/>
    <w:rsid w:val="00D05B8D"/>
    <w:rsid w:val="00D07F00"/>
    <w:rsid w:val="00D33E72"/>
    <w:rsid w:val="00D35BD6"/>
    <w:rsid w:val="00D361B5"/>
    <w:rsid w:val="00D411A2"/>
    <w:rsid w:val="00D50B9C"/>
    <w:rsid w:val="00D52D73"/>
    <w:rsid w:val="00D52E58"/>
    <w:rsid w:val="00D714CC"/>
    <w:rsid w:val="00D75EA7"/>
    <w:rsid w:val="00D76401"/>
    <w:rsid w:val="00D81F21"/>
    <w:rsid w:val="00D95470"/>
    <w:rsid w:val="00DA2619"/>
    <w:rsid w:val="00DA4239"/>
    <w:rsid w:val="00DB0B61"/>
    <w:rsid w:val="00DC090B"/>
    <w:rsid w:val="00DC2CF1"/>
    <w:rsid w:val="00DC4FCF"/>
    <w:rsid w:val="00DC50E0"/>
    <w:rsid w:val="00DC6386"/>
    <w:rsid w:val="00DD1130"/>
    <w:rsid w:val="00DD1951"/>
    <w:rsid w:val="00DD5BE3"/>
    <w:rsid w:val="00DD6628"/>
    <w:rsid w:val="00DE3250"/>
    <w:rsid w:val="00DE6028"/>
    <w:rsid w:val="00DE78A3"/>
    <w:rsid w:val="00DF1A71"/>
    <w:rsid w:val="00DF68C7"/>
    <w:rsid w:val="00E170DC"/>
    <w:rsid w:val="00E26818"/>
    <w:rsid w:val="00E27FFC"/>
    <w:rsid w:val="00E30B15"/>
    <w:rsid w:val="00E40181"/>
    <w:rsid w:val="00E5169A"/>
    <w:rsid w:val="00E629A1"/>
    <w:rsid w:val="00E82C55"/>
    <w:rsid w:val="00E92AC3"/>
    <w:rsid w:val="00EB00E0"/>
    <w:rsid w:val="00EC059F"/>
    <w:rsid w:val="00EC1A9A"/>
    <w:rsid w:val="00EC1F24"/>
    <w:rsid w:val="00ED5B9B"/>
    <w:rsid w:val="00ED6BAD"/>
    <w:rsid w:val="00ED7447"/>
    <w:rsid w:val="00EE1488"/>
    <w:rsid w:val="00EE4D5D"/>
    <w:rsid w:val="00EF109B"/>
    <w:rsid w:val="00EF36AF"/>
    <w:rsid w:val="00F00F9C"/>
    <w:rsid w:val="00F02ABA"/>
    <w:rsid w:val="00F0437A"/>
    <w:rsid w:val="00F109B8"/>
    <w:rsid w:val="00F11037"/>
    <w:rsid w:val="00F250A9"/>
    <w:rsid w:val="00F30FF4"/>
    <w:rsid w:val="00F320C1"/>
    <w:rsid w:val="00F331AD"/>
    <w:rsid w:val="00F43A37"/>
    <w:rsid w:val="00F43E04"/>
    <w:rsid w:val="00F4641B"/>
    <w:rsid w:val="00F46EB8"/>
    <w:rsid w:val="00F511E4"/>
    <w:rsid w:val="00F52D09"/>
    <w:rsid w:val="00F52E08"/>
    <w:rsid w:val="00F55B21"/>
    <w:rsid w:val="00F56EF6"/>
    <w:rsid w:val="00F64696"/>
    <w:rsid w:val="00F65AA9"/>
    <w:rsid w:val="00F6768F"/>
    <w:rsid w:val="00F72C2C"/>
    <w:rsid w:val="00F76CAB"/>
    <w:rsid w:val="00F772C6"/>
    <w:rsid w:val="00F85195"/>
    <w:rsid w:val="00F938BA"/>
    <w:rsid w:val="00FA25C8"/>
    <w:rsid w:val="00FA2C46"/>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6"/>
    <o:shapelayout v:ext="edit">
      <o:idmap v:ext="edit" data="1"/>
    </o:shapelayout>
  </w:shapeDefaults>
  <w:decimalSymbol w:val="."/>
  <w:listSeparator w:val=","/>
  <w14:defaultImageDpi w14:val="300"/>
  <w15:docId w15:val="{06C3071D-5B99-449C-829B-DC05B3BB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4148F9"/>
    <w:rPr>
      <w:rFonts w:ascii="Cambria" w:hAnsi="Cambria"/>
      <w:lang w:eastAsia="en-US"/>
    </w:rPr>
  </w:style>
  <w:style w:type="paragraph" w:styleId="Heading1">
    <w:name w:val="heading 1"/>
    <w:next w:val="DHHSbody"/>
    <w:link w:val="Heading1Char"/>
    <w:uiPriority w:val="1"/>
    <w:qFormat/>
    <w:rsid w:val="000B64D4"/>
    <w:pPr>
      <w:keepNext/>
      <w:keepLines/>
      <w:spacing w:before="400" w:after="280" w:line="480" w:lineRule="atLeast"/>
      <w:outlineLvl w:val="0"/>
    </w:pPr>
    <w:rPr>
      <w:rFonts w:ascii="Arial" w:eastAsia="MS Gothic" w:hAnsi="Arial" w:cs="Arial"/>
      <w:bCs/>
      <w:color w:val="006FB7"/>
      <w:kern w:val="32"/>
      <w:sz w:val="40"/>
      <w:szCs w:val="32"/>
      <w:lang w:eastAsia="en-US"/>
    </w:rPr>
  </w:style>
  <w:style w:type="paragraph" w:styleId="Heading2">
    <w:name w:val="heading 2"/>
    <w:next w:val="DHHSbody"/>
    <w:link w:val="Heading2Char"/>
    <w:uiPriority w:val="1"/>
    <w:qFormat/>
    <w:rsid w:val="00B63AE8"/>
    <w:pPr>
      <w:keepNext/>
      <w:keepLines/>
      <w:spacing w:before="280" w:after="120" w:line="320" w:lineRule="atLeast"/>
      <w:outlineLvl w:val="1"/>
    </w:pPr>
    <w:rPr>
      <w:rFonts w:ascii="Arial" w:eastAsia="MS Gothic" w:hAnsi="Arial"/>
      <w:b/>
      <w:bCs/>
      <w:iCs/>
      <w:color w:val="006FB7"/>
      <w:sz w:val="28"/>
      <w:szCs w:val="28"/>
      <w:lang w:eastAsia="en-US"/>
    </w:rPr>
  </w:style>
  <w:style w:type="paragraph" w:styleId="Heading3">
    <w:name w:val="heading 3"/>
    <w:next w:val="DHHSbody"/>
    <w:link w:val="Heading3Char"/>
    <w:uiPriority w:val="1"/>
    <w:qFormat/>
    <w:rsid w:val="0047372D"/>
    <w:pPr>
      <w:keepNext/>
      <w:keepLines/>
      <w:spacing w:before="240" w:after="80" w:line="280" w:lineRule="atLeast"/>
      <w:outlineLvl w:val="2"/>
    </w:pPr>
    <w:rPr>
      <w:rFonts w:ascii="Arial" w:eastAsia="MS Gothic" w:hAnsi="Arial"/>
      <w:b/>
      <w:bCs/>
      <w:sz w:val="24"/>
      <w:szCs w:val="24"/>
      <w:lang w:eastAsia="en-US"/>
    </w:rPr>
  </w:style>
  <w:style w:type="paragraph" w:styleId="Heading4">
    <w:name w:val="heading 4"/>
    <w:next w:val="Normal"/>
    <w:link w:val="Heading4Char"/>
    <w:uiPriority w:val="1"/>
    <w:qFormat/>
    <w:rsid w:val="00DA2619"/>
    <w:pPr>
      <w:keepNext/>
      <w:keepLines/>
      <w:spacing w:before="160" w:after="60" w:line="240" w:lineRule="atLeast"/>
      <w:outlineLvl w:val="3"/>
    </w:pPr>
    <w:rPr>
      <w:rFonts w:ascii="Arial" w:eastAsia="MS Mincho" w:hAnsi="Arial"/>
      <w:b/>
      <w:bCs/>
      <w:szCs w:val="28"/>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B64D4"/>
    <w:rPr>
      <w:rFonts w:ascii="Arial" w:eastAsia="MS Gothic" w:hAnsi="Arial" w:cs="Arial"/>
      <w:bCs/>
      <w:color w:val="006FB7"/>
      <w:kern w:val="32"/>
      <w:sz w:val="40"/>
      <w:szCs w:val="32"/>
      <w:lang w:eastAsia="en-US"/>
    </w:rPr>
  </w:style>
  <w:style w:type="character" w:customStyle="1" w:styleId="Heading2Char">
    <w:name w:val="Heading 2 Char"/>
    <w:link w:val="Heading2"/>
    <w:uiPriority w:val="1"/>
    <w:rsid w:val="00B63AE8"/>
    <w:rPr>
      <w:rFonts w:ascii="Arial" w:eastAsia="MS Gothic" w:hAnsi="Arial"/>
      <w:b/>
      <w:bCs/>
      <w:iCs/>
      <w:color w:val="006FB7"/>
      <w:sz w:val="28"/>
      <w:szCs w:val="28"/>
      <w:lang w:eastAsia="en-US"/>
    </w:rPr>
  </w:style>
  <w:style w:type="character" w:customStyle="1" w:styleId="Heading3Char">
    <w:name w:val="Heading 3 Char"/>
    <w:link w:val="Heading3"/>
    <w:uiPriority w:val="1"/>
    <w:rsid w:val="0047372D"/>
    <w:rPr>
      <w:rFonts w:ascii="Arial" w:eastAsia="MS Gothic" w:hAnsi="Arial"/>
      <w:b/>
      <w:bCs/>
      <w:sz w:val="24"/>
      <w:szCs w:val="24"/>
    </w:rPr>
  </w:style>
  <w:style w:type="character" w:customStyle="1" w:styleId="Heading4Char">
    <w:name w:val="Heading 4 Char"/>
    <w:link w:val="Heading4"/>
    <w:uiPriority w:val="1"/>
    <w:semiHidden/>
    <w:rsid w:val="000A0EB9"/>
    <w:rPr>
      <w:rFonts w:ascii="Arial" w:eastAsia="MS Mincho" w:hAnsi="Arial"/>
      <w:b/>
      <w:bCs/>
      <w:szCs w:val="28"/>
      <w:lang w:eastAsia="en-US"/>
    </w:rPr>
  </w:style>
  <w:style w:type="paragraph" w:styleId="Header">
    <w:name w:val="header"/>
    <w:basedOn w:val="Normal"/>
    <w:uiPriority w:val="10"/>
    <w:rsid w:val="002962C3"/>
    <w:pPr>
      <w:tabs>
        <w:tab w:val="center" w:pos="4153"/>
        <w:tab w:val="right" w:pos="8306"/>
      </w:tabs>
    </w:pPr>
    <w:rPr>
      <w:rFonts w:ascii="Arial" w:hAnsi="Arial" w:cs="Arial"/>
      <w:sz w:val="18"/>
    </w:rPr>
  </w:style>
  <w:style w:type="paragraph" w:styleId="Footer">
    <w:name w:val="footer"/>
    <w:basedOn w:val="Normal"/>
    <w:uiPriority w:val="8"/>
    <w:rsid w:val="00C27DE9"/>
    <w:pPr>
      <w:tabs>
        <w:tab w:val="right" w:pos="10206"/>
      </w:tabs>
    </w:pPr>
    <w:rPr>
      <w:rFonts w:ascii="Arial" w:hAnsi="Arial"/>
      <w:sz w:val="18"/>
      <w:szCs w:val="18"/>
    </w:rPr>
  </w:style>
  <w:style w:type="character" w:styleId="FollowedHyperlink">
    <w:name w:val="FollowedHyperlink"/>
    <w:uiPriority w:val="99"/>
    <w:rsid w:val="00B2752E"/>
    <w:rPr>
      <w:color w:val="9933CC"/>
      <w:u w:val="dotted"/>
    </w:rPr>
  </w:style>
  <w:style w:type="paragraph" w:customStyle="1" w:styleId="DTPLIauthorisedby">
    <w:name w:val="DTPLI authorised by"/>
    <w:basedOn w:val="Normal"/>
    <w:qFormat/>
    <w:rsid w:val="009B1BD4"/>
    <w:pPr>
      <w:spacing w:before="120" w:after="120"/>
    </w:pPr>
    <w:rPr>
      <w:rFonts w:ascii="Tahoma" w:eastAsia="Calibri" w:hAnsi="Tahoma"/>
    </w:r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FD3766"/>
    <w:pPr>
      <w:numPr>
        <w:numId w:val="4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paragraph" w:customStyle="1" w:styleId="Footerfirstpage">
    <w:name w:val="Footer first page"/>
    <w:basedOn w:val="Footer"/>
    <w:uiPriority w:val="8"/>
    <w:rsid w:val="00F65AA9"/>
    <w:pPr>
      <w:tabs>
        <w:tab w:val="right" w:pos="9923"/>
      </w:tabs>
      <w:spacing w:line="240" w:lineRule="atLeast"/>
    </w:pPr>
    <w:rPr>
      <w:noProof/>
      <w:sz w:val="20"/>
      <w:lang w:val="en-US"/>
    </w:rPr>
  </w:style>
  <w:style w:type="paragraph" w:customStyle="1" w:styleId="DHHSTOCheadingfactsheet">
    <w:name w:val="DHHS TOC heading fact sheet"/>
    <w:basedOn w:val="Heading2"/>
    <w:next w:val="DHHSbody"/>
    <w:link w:val="DHHSTOCheadingfactsheetChar"/>
    <w:uiPriority w:val="4"/>
    <w:rsid w:val="00B63AE8"/>
    <w:pPr>
      <w:spacing w:after="200"/>
      <w:outlineLvl w:val="9"/>
    </w:pPr>
  </w:style>
  <w:style w:type="character" w:customStyle="1" w:styleId="DHHSTOCheadingfactsheetChar">
    <w:name w:val="DHHS TOC heading fact sheet Char"/>
    <w:link w:val="DHHSTOCheadingfactsheet"/>
    <w:uiPriority w:val="4"/>
    <w:rsid w:val="00B63AE8"/>
    <w:rPr>
      <w:rFonts w:ascii="Arial" w:eastAsia="MS Gothic" w:hAnsi="Arial"/>
      <w:b/>
      <w:bCs/>
      <w:iCs/>
      <w:color w:val="006FB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uiPriority w:val="3"/>
    <w:qFormat/>
    <w:rsid w:val="009C7A7E"/>
    <w:pPr>
      <w:keepNext/>
      <w:keepLines/>
      <w:spacing w:before="240" w:after="120" w:line="270" w:lineRule="exac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footnote">
    <w:name w:val="DHHS footnote"/>
    <w:link w:val="DHHSfootnoteChar"/>
    <w:uiPriority w:val="4"/>
    <w:rsid w:val="001D44E8"/>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1D44E8"/>
    <w:rPr>
      <w:rFonts w:ascii="Arial" w:hAnsi="Arial"/>
      <w:sz w:val="16"/>
      <w:szCs w:val="16"/>
    </w:rPr>
  </w:style>
  <w:style w:type="paragraph" w:customStyle="1" w:styleId="DHHSbullet2">
    <w:name w:val="DHHS bullet 2"/>
    <w:basedOn w:val="DHHSbody"/>
    <w:uiPriority w:val="2"/>
    <w:qFormat/>
    <w:rsid w:val="00FD3766"/>
    <w:pPr>
      <w:numPr>
        <w:ilvl w:val="2"/>
        <w:numId w:val="43"/>
      </w:numPr>
      <w:spacing w:after="40"/>
    </w:pPr>
  </w:style>
  <w:style w:type="paragraph" w:customStyle="1" w:styleId="DHHSfigurecaption">
    <w:name w:val="DHHS figure caption"/>
    <w:next w:val="DHHSbody"/>
    <w:link w:val="DHHSfigurecaptionChar"/>
    <w:uiPriority w:val="4"/>
    <w:rsid w:val="009C7A7E"/>
    <w:pPr>
      <w:keepNext/>
      <w:keepLines/>
      <w:spacing w:before="240" w:after="120"/>
    </w:pPr>
    <w:rPr>
      <w:rFonts w:ascii="Arial" w:hAnsi="Arial"/>
      <w:b/>
      <w:lang w:eastAsia="en-US"/>
    </w:rPr>
  </w:style>
  <w:style w:type="character" w:customStyle="1" w:styleId="DHHSfigurecaptionChar">
    <w:name w:val="DHHS figure caption Char"/>
    <w:link w:val="DHHSfigurecaption"/>
    <w:uiPriority w:val="4"/>
    <w:rsid w:val="00670597"/>
    <w:rPr>
      <w:rFonts w:ascii="Arial" w:hAnsi="Arial"/>
      <w:b/>
      <w:lang w:eastAsia="en-US"/>
    </w:rPr>
  </w:style>
  <w:style w:type="paragraph" w:customStyle="1" w:styleId="DHHStablebullet">
    <w:name w:val="DHHS table bullet"/>
    <w:basedOn w:val="DHHStabletext"/>
    <w:uiPriority w:val="3"/>
    <w:qFormat/>
    <w:rsid w:val="00FD3766"/>
    <w:pPr>
      <w:numPr>
        <w:ilvl w:val="6"/>
        <w:numId w:val="43"/>
      </w:numPr>
    </w:pPr>
  </w:style>
  <w:style w:type="paragraph" w:customStyle="1" w:styleId="DHHSaccessibilitypara">
    <w:name w:val="DHHS accessibility para"/>
    <w:basedOn w:val="Normal"/>
    <w:link w:val="DHHSaccessibilityparaChar"/>
    <w:uiPriority w:val="6"/>
    <w:rsid w:val="000C42EA"/>
    <w:pPr>
      <w:spacing w:after="120" w:line="300" w:lineRule="exact"/>
    </w:pPr>
    <w:rPr>
      <w:rFonts w:ascii="Arial" w:hAnsi="Arial"/>
      <w:sz w:val="24"/>
      <w:szCs w:val="24"/>
    </w:rPr>
  </w:style>
  <w:style w:type="character" w:customStyle="1" w:styleId="DHHSaccessibilityparaChar">
    <w:name w:val="DHHS accessibility para Char"/>
    <w:link w:val="DHHSaccessibilitypara"/>
    <w:uiPriority w:val="6"/>
    <w:rsid w:val="00670597"/>
    <w:rPr>
      <w:rFonts w:ascii="Arial" w:hAnsi="Arial"/>
      <w:sz w:val="24"/>
      <w:szCs w:val="24"/>
      <w:lang w:eastAsia="en-US"/>
    </w:rPr>
  </w:style>
  <w:style w:type="paragraph" w:customStyle="1" w:styleId="DHHStablecolhead">
    <w:name w:val="DHHS table col head"/>
    <w:uiPriority w:val="3"/>
    <w:qFormat/>
    <w:rsid w:val="00B63AE8"/>
    <w:pPr>
      <w:spacing w:before="80" w:after="60"/>
    </w:pPr>
    <w:rPr>
      <w:rFonts w:ascii="Arial" w:hAnsi="Arial"/>
      <w:b/>
      <w:color w:val="006FB7"/>
      <w:lang w:eastAsia="en-US"/>
    </w:rPr>
  </w:style>
  <w:style w:type="paragraph" w:customStyle="1" w:styleId="DHHSbulletindent">
    <w:name w:val="DHHS bullet indent"/>
    <w:basedOn w:val="DHHSbody"/>
    <w:rsid w:val="00596A4B"/>
    <w:pPr>
      <w:numPr>
        <w:ilvl w:val="4"/>
        <w:numId w:val="43"/>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FD3766"/>
    <w:pPr>
      <w:numPr>
        <w:ilvl w:val="1"/>
      </w:numPr>
      <w:spacing w:after="120"/>
    </w:pPr>
  </w:style>
  <w:style w:type="paragraph" w:customStyle="1" w:styleId="DHHSbullet2lastline">
    <w:name w:val="DHHS bullet 2 last line"/>
    <w:basedOn w:val="DHHSbullet2"/>
    <w:uiPriority w:val="2"/>
    <w:rsid w:val="00FD3766"/>
    <w:pPr>
      <w:numPr>
        <w:ilvl w:val="3"/>
      </w:numPr>
      <w:spacing w:after="120"/>
    </w:pPr>
  </w:style>
  <w:style w:type="paragraph" w:customStyle="1" w:styleId="DHHSmainsubheading">
    <w:name w:val="DHHS main subheading"/>
    <w:uiPriority w:val="8"/>
    <w:rsid w:val="00627DA7"/>
    <w:rPr>
      <w:rFonts w:ascii="Arial" w:hAnsi="Arial"/>
      <w:color w:val="FFFFFF"/>
      <w:sz w:val="28"/>
      <w:szCs w:val="24"/>
      <w:lang w:eastAsia="en-US"/>
    </w:rPr>
  </w:style>
  <w:style w:type="paragraph" w:styleId="FootnoteText">
    <w:name w:val="footnote text"/>
    <w:basedOn w:val="Normal"/>
    <w:link w:val="FootnoteTextChar"/>
    <w:uiPriority w:val="99"/>
    <w:unhideWhenUsed/>
    <w:rsid w:val="003F0445"/>
    <w:rPr>
      <w:sz w:val="24"/>
      <w:szCs w:val="24"/>
    </w:rPr>
  </w:style>
  <w:style w:type="character" w:customStyle="1" w:styleId="FootnoteTextChar">
    <w:name w:val="Footnote Text Char"/>
    <w:link w:val="FootnoteText"/>
    <w:uiPriority w:val="99"/>
    <w:rsid w:val="003F0445"/>
    <w:rPr>
      <w:rFonts w:ascii="Cambria" w:hAnsi="Cambria"/>
      <w:sz w:val="24"/>
      <w:szCs w:val="24"/>
    </w:rPr>
  </w:style>
  <w:style w:type="paragraph" w:customStyle="1" w:styleId="Healthbody">
    <w:name w:val="Health body"/>
    <w:semiHidden/>
    <w:rsid w:val="007B0914"/>
    <w:pPr>
      <w:spacing w:after="120" w:line="270" w:lineRule="atLeast"/>
    </w:pPr>
    <w:rPr>
      <w:rFonts w:ascii="Arial" w:eastAsia="MS Mincho" w:hAnsi="Arial"/>
      <w:szCs w:val="24"/>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numbering" w:customStyle="1" w:styleId="Bullets">
    <w:name w:val="Bullets"/>
    <w:rsid w:val="00596A4B"/>
    <w:pPr>
      <w:numPr>
        <w:numId w:val="30"/>
      </w:numPr>
    </w:pPr>
  </w:style>
  <w:style w:type="numbering" w:customStyle="1" w:styleId="Numbers">
    <w:name w:val="Numbers"/>
    <w:rsid w:val="00596A4B"/>
    <w:pPr>
      <w:numPr>
        <w:numId w:val="32"/>
      </w:numPr>
    </w:pPr>
  </w:style>
  <w:style w:type="paragraph" w:customStyle="1" w:styleId="DHHSbulletindentlastline">
    <w:name w:val="DHHS bullet indent last line"/>
    <w:basedOn w:val="DHHSbody"/>
    <w:rsid w:val="00596A4B"/>
    <w:pPr>
      <w:numPr>
        <w:ilvl w:val="5"/>
        <w:numId w:val="43"/>
      </w:numPr>
    </w:pPr>
  </w:style>
  <w:style w:type="paragraph" w:customStyle="1" w:styleId="DHHSnumberdigit">
    <w:name w:val="DHHS number digit"/>
    <w:basedOn w:val="DHHSbody"/>
    <w:uiPriority w:val="4"/>
    <w:rsid w:val="00596A4B"/>
    <w:pPr>
      <w:numPr>
        <w:numId w:val="44"/>
      </w:numPr>
    </w:pPr>
  </w:style>
  <w:style w:type="paragraph" w:customStyle="1" w:styleId="DHHSnumberloweralphaindent">
    <w:name w:val="DHHS number lower alpha indent"/>
    <w:basedOn w:val="DHHSbody"/>
    <w:uiPriority w:val="4"/>
    <w:qFormat/>
    <w:rsid w:val="00596A4B"/>
    <w:pPr>
      <w:numPr>
        <w:ilvl w:val="3"/>
        <w:numId w:val="44"/>
      </w:numPr>
    </w:pPr>
  </w:style>
  <w:style w:type="paragraph" w:customStyle="1" w:styleId="DHHSnumberdigitindent">
    <w:name w:val="DHHS number digit indent"/>
    <w:basedOn w:val="DHHSnumberloweralphaindent"/>
    <w:uiPriority w:val="4"/>
    <w:qFormat/>
    <w:rsid w:val="00596A4B"/>
    <w:pPr>
      <w:numPr>
        <w:ilvl w:val="1"/>
      </w:numPr>
    </w:pPr>
  </w:style>
  <w:style w:type="paragraph" w:customStyle="1" w:styleId="DHHSnumberloweralpha">
    <w:name w:val="DHHS number lower alpha"/>
    <w:basedOn w:val="DHHSbody"/>
    <w:uiPriority w:val="4"/>
    <w:qFormat/>
    <w:rsid w:val="00596A4B"/>
    <w:pPr>
      <w:numPr>
        <w:ilvl w:val="2"/>
        <w:numId w:val="44"/>
      </w:numPr>
    </w:pPr>
  </w:style>
  <w:style w:type="paragraph" w:customStyle="1" w:styleId="DHHSnumberlowerroman">
    <w:name w:val="DHHS number lower roman"/>
    <w:basedOn w:val="DHHSbody"/>
    <w:uiPriority w:val="4"/>
    <w:qFormat/>
    <w:rsid w:val="00596A4B"/>
    <w:pPr>
      <w:numPr>
        <w:ilvl w:val="4"/>
        <w:numId w:val="44"/>
      </w:numPr>
    </w:pPr>
  </w:style>
  <w:style w:type="paragraph" w:customStyle="1" w:styleId="DHHSnumberlowerromanindent">
    <w:name w:val="DHHS number lower roman indent"/>
    <w:basedOn w:val="DHHSbody"/>
    <w:uiPriority w:val="4"/>
    <w:qFormat/>
    <w:rsid w:val="00596A4B"/>
    <w:pPr>
      <w:numPr>
        <w:ilvl w:val="5"/>
        <w:numId w:val="44"/>
      </w:numPr>
    </w:pPr>
  </w:style>
  <w:style w:type="paragraph" w:customStyle="1" w:styleId="DHHSquote">
    <w:name w:val="DHHS quote"/>
    <w:basedOn w:val="DHHSbody"/>
    <w:uiPriority w:val="3"/>
    <w:qFormat/>
    <w:rsid w:val="00596A4B"/>
    <w:pPr>
      <w:ind w:left="397"/>
    </w:pPr>
    <w:rPr>
      <w:szCs w:val="18"/>
      <w:lang w:val="fr-FR"/>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Normal"/>
    <w:uiPriority w:val="1"/>
    <w:rsid w:val="00951D50"/>
    <w:pPr>
      <w:spacing w:before="240" w:after="120" w:line="270" w:lineRule="atLeast"/>
    </w:pPr>
    <w:rPr>
      <w:rFonts w:ascii="Arial" w:eastAsia="Times" w:hAnsi="Arial"/>
    </w:rPr>
  </w:style>
  <w:style w:type="paragraph" w:styleId="BalloonText">
    <w:name w:val="Balloon Text"/>
    <w:basedOn w:val="Normal"/>
    <w:link w:val="BalloonTextChar"/>
    <w:uiPriority w:val="99"/>
    <w:semiHidden/>
    <w:unhideWhenUsed/>
    <w:rsid w:val="00FA25C8"/>
    <w:rPr>
      <w:rFonts w:ascii="Tahoma" w:hAnsi="Tahoma" w:cs="Tahoma"/>
      <w:sz w:val="16"/>
      <w:szCs w:val="16"/>
    </w:rPr>
  </w:style>
  <w:style w:type="character" w:customStyle="1" w:styleId="BalloonTextChar">
    <w:name w:val="Balloon Text Char"/>
    <w:link w:val="BalloonText"/>
    <w:uiPriority w:val="99"/>
    <w:semiHidden/>
    <w:rsid w:val="00FA25C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74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tterregulation.vic.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SVE\SRV\Comms-SRV\Grants\LSIF\Supporting%20docs\fact_sheet_competitive_neutrality_doc_119kb_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89772-41CB-4DA2-B50E-5575986D5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fact_sheet_competitive_neutrality_doc_119kb_3.dotm</Template>
  <TotalTime>0</TotalTime>
  <Pages>1</Pages>
  <Words>370</Words>
  <Characters>2110</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 &amp; Human Services</Company>
  <LinksUpToDate>false</LinksUpToDate>
  <CharactersWithSpaces>2476</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 Jurcec (DEDJTR)</dc:creator>
  <cp:lastModifiedBy>Dom Jurcec (DEDJTR)</cp:lastModifiedBy>
  <cp:revision>1</cp:revision>
  <cp:lastPrinted>2015-01-28T04:08:00Z</cp:lastPrinted>
  <dcterms:created xsi:type="dcterms:W3CDTF">2019-11-04T05:00:00Z</dcterms:created>
  <dcterms:modified xsi:type="dcterms:W3CDTF">2019-11-04T05:00:00Z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